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Architectural</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t xml:space="preserve">Architectural Design &amp; Consulting Services — Lyon, France</w:t>
      </w:r>
    </w:p>
    <w:bookmarkEnd w:id="20"/>
    <w:p>
      <w:pPr>
        <w:pStyle w:val="BodyText"/>
      </w:pPr>
      <w:r>
        <w:rPr>
          <w:bCs/>
          <w:b/>
        </w:rPr>
        <w:t xml:space="preserve">Purchase Order No.:</w:t>
      </w:r>
      <w:r>
        <w:t xml:space="preserve"> </w:t>
      </w:r>
      <w:r>
        <w:t xml:space="preserve">PO-LYON-2025-04782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ARC-LYON-RES-2025</w:t>
      </w:r>
      <w:r>
        <w:br/>
      </w:r>
      <w:r>
        <w:rPr>
          <w:bCs/>
          <w:b/>
        </w:rPr>
        <w:t xml:space="preserve">Location of Work:</w:t>
      </w:r>
      <w:r>
        <w:t xml:space="preserve"> </w:t>
      </w:r>
      <w:r>
        <w:t xml:space="preserve">Lyon, France</w:t>
      </w:r>
      <w:r>
        <w:br/>
      </w:r>
      <w:r>
        <w:rPr>
          <w:bCs/>
          <w:b/>
        </w:rPr>
        <w:t xml:space="preserve">Payment Currency:</w:t>
      </w:r>
      <w:r>
        <w:t xml:space="preserve"> </w:t>
      </w:r>
      <w:r>
        <w:t xml:space="preserve">EUR (€)</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Party (Buyer)</w:t>
            </w:r>
          </w:p>
        </w:tc>
        <w:tc>
          <w:tcPr/>
          <w:p>
            <w:pPr>
              <w:pStyle w:val="Compact"/>
              <w:jc w:val="left"/>
            </w:pPr>
            <w:r>
              <w:t xml:space="preserve">Groupe Immobilier Rhône-Alpes S.A.S.</w:t>
            </w:r>
            <w:r>
              <w:br/>
            </w:r>
            <w:r>
              <w:t xml:space="preserve">42 Quai de Serbie, 69009 Lyon, France</w:t>
            </w:r>
            <w:r>
              <w:br/>
            </w:r>
            <w:r>
              <w:t xml:space="preserve">SIRET: 842 567 391 00027</w:t>
            </w:r>
            <w:r>
              <w:br/>
            </w:r>
            <w:r>
              <w:t xml:space="preserve">Contact: M. Laurent Delacroix, Director of Procurement</w:t>
            </w:r>
            <w:r>
              <w:br/>
            </w:r>
            <w:r>
              <w:t xml:space="preserve">Email: l.delacroix@grhonealpes.fr | Tel: +33 4 72 00 45 89</w:t>
            </w:r>
          </w:p>
        </w:tc>
      </w:tr>
      <w:tr>
        <w:tc>
          <w:tcPr/>
          <w:p>
            <w:pPr>
              <w:pStyle w:val="Compact"/>
              <w:jc w:val="left"/>
            </w:pPr>
            <w:r>
              <w:rPr>
                <w:bCs/>
                <w:b/>
              </w:rPr>
              <w:t xml:space="preserve">Supplier (Architect)</w:t>
            </w:r>
          </w:p>
        </w:tc>
        <w:tc>
          <w:tcPr/>
          <w:p>
            <w:pPr>
              <w:pStyle w:val="Compact"/>
              <w:jc w:val="left"/>
            </w:pPr>
            <w:r>
              <w:t xml:space="preserve">Cabinet d'Architecture Moreau &amp; Associés</w:t>
            </w:r>
            <w:r>
              <w:br/>
            </w:r>
            <w:r>
              <w:t xml:space="preserve">18 Rue de la Charité, 69002 Lyon, France</w:t>
            </w:r>
            <w:r>
              <w:br/>
            </w:r>
            <w:r>
              <w:t xml:space="preserve">SIRET: 518 234 678 00014</w:t>
            </w:r>
            <w:r>
              <w:br/>
            </w:r>
            <w:r>
              <w:t xml:space="preserve">Architect in Charge: Mme. Claire Moreau, Architecte DPLG</w:t>
            </w:r>
            <w:r>
              <w:br/>
            </w:r>
            <w:r>
              <w:t xml:space="preserve">Ordre des Architectes de Lyon — Registration No. 69-004821</w:t>
            </w:r>
            <w:r>
              <w:br/>
            </w:r>
            <w:r>
              <w:t xml:space="preserve">Email: c.moreau@moreau-archi.fr | Tel: +33 4 78 42 11 56</w:t>
            </w:r>
          </w:p>
        </w:tc>
      </w:tr>
    </w:tbl>
    <w:bookmarkEnd w:id="21"/>
    <w:bookmarkStart w:id="22" w:name="description-of-architectural-services"/>
    <w:p>
      <w:pPr>
        <w:pStyle w:val="Heading2"/>
      </w:pPr>
      <w:r>
        <w:t xml:space="preserve">2. Description of Architectural Services</w:t>
      </w:r>
    </w:p>
    <w:p>
      <w:pPr>
        <w:pStyle w:val="FirstParagraph"/>
      </w:pPr>
      <w:r>
        <w:t xml:space="preserve">This Purchase Order is issued by Groupe Immobilier Rhône-Alpes S.A.S. to engage the services of Cabinet d'Architecture Moreau &amp; Associés, a registered architectural practice based in Lyon, France, for the complete design, planning, and technical coordination of a mixed-use residential and commercial development project located in the 3rd arrondissement of Lyon, France. The Architect shall deliver all phases of architectural design in full compliance with the French Urban Planning Code (Code de l'urbanisme), the local Plan Local d'Urbanisme (PLU) of the City of Lyon, and all applicable regulations of the Métropole de Lyon.</w:t>
      </w:r>
    </w:p>
    <w:p>
      <w:pPr>
        <w:pStyle w:val="BodyText"/>
      </w:pPr>
      <w:r>
        <w:t xml:space="preserve">The scope of work encompasses preliminary concept design, schematic design, detailed architectural drawings, structural coordination, interior design specifications, landscape integration, energy performance modelling (DPE compliance), accessibility compliance (Norme NF P98-351), and full support through the building permit application process (permis de construire) before the Service Urbanisme of the Ville de Lyon. The Architect shall also attend all mandatory coordination meetings with the project's structural engineer, MEP consultants, and the local building control authority (CTC) in Lyon.</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Architectural Service</w:t>
            </w:r>
          </w:p>
        </w:tc>
        <w:tc>
          <w:tcPr/>
          <w:p>
            <w:pPr>
              <w:pStyle w:val="Compact"/>
              <w:jc w:val="left"/>
            </w:pPr>
            <w:r>
              <w:t xml:space="preserve">Phase / Deliverable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Preliminary Concept Design &amp; Feasibility Study for the Lyon 3rd arrondissement site</w:t>
            </w:r>
          </w:p>
        </w:tc>
        <w:tc>
          <w:tcPr/>
          <w:p>
            <w:pPr>
              <w:pStyle w:val="Compact"/>
              <w:jc w:val="left"/>
            </w:pPr>
            <w:r>
              <w:t xml:space="preserve">Phase 1 — Esquisse</w:t>
            </w:r>
          </w:p>
        </w:tc>
        <w:tc>
          <w:tcPr/>
          <w:p>
            <w:pPr>
              <w:pStyle w:val="Compact"/>
              <w:jc w:val="left"/>
            </w:pPr>
            <w:r>
              <w:t xml:space="preserve">1 lot</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02</w:t>
            </w:r>
          </w:p>
        </w:tc>
        <w:tc>
          <w:tcPr/>
          <w:p>
            <w:pPr>
              <w:pStyle w:val="Compact"/>
              <w:jc w:val="left"/>
            </w:pPr>
            <w:r>
              <w:t xml:space="preserve">Schematic Design Development including massing studies, orientation analysis, and preliminary material palette</w:t>
            </w:r>
          </w:p>
        </w:tc>
        <w:tc>
          <w:tcPr/>
          <w:p>
            <w:pPr>
              <w:pStyle w:val="Compact"/>
              <w:jc w:val="left"/>
            </w:pPr>
            <w:r>
              <w:t xml:space="preserve">Phase 2 — APS</w:t>
            </w:r>
          </w:p>
        </w:tc>
        <w:tc>
          <w:tcPr/>
          <w:p>
            <w:pPr>
              <w:pStyle w:val="Compact"/>
              <w:jc w:val="left"/>
            </w:pPr>
            <w:r>
              <w:t xml:space="preserve">1 lot</w:t>
            </w:r>
          </w:p>
        </w:tc>
        <w:tc>
          <w:tcPr/>
          <w:p>
            <w:pPr>
              <w:pStyle w:val="Compact"/>
              <w:jc w:val="left"/>
            </w:pPr>
            <w:r>
              <w:t xml:space="preserve">€ 32,000.00</w:t>
            </w:r>
          </w:p>
        </w:tc>
        <w:tc>
          <w:tcPr/>
          <w:p>
            <w:pPr>
              <w:pStyle w:val="Compact"/>
              <w:jc w:val="left"/>
            </w:pPr>
            <w:r>
              <w:t xml:space="preserve">€ 32,000.00</w:t>
            </w:r>
          </w:p>
        </w:tc>
      </w:tr>
      <w:tr>
        <w:tc>
          <w:tcPr/>
          <w:p>
            <w:pPr>
              <w:pStyle w:val="Compact"/>
              <w:jc w:val="left"/>
            </w:pPr>
            <w:r>
              <w:t xml:space="preserve">03</w:t>
            </w:r>
          </w:p>
        </w:tc>
        <w:tc>
          <w:tcPr/>
          <w:p>
            <w:pPr>
              <w:pStyle w:val="Compact"/>
              <w:jc w:val="left"/>
            </w:pPr>
            <w:r>
              <w:t xml:space="preserve">Detailed Architectural Design, construction drawings, and technical specifications (plans, sections, elevations, details at 1:50 and 1:20)</w:t>
            </w:r>
          </w:p>
        </w:tc>
        <w:tc>
          <w:tcPr/>
          <w:p>
            <w:pPr>
              <w:pStyle w:val="Compact"/>
              <w:jc w:val="left"/>
            </w:pPr>
            <w:r>
              <w:t xml:space="preserve">Phase 3 — APD</w:t>
            </w:r>
          </w:p>
        </w:tc>
        <w:tc>
          <w:tcPr/>
          <w:p>
            <w:pPr>
              <w:pStyle w:val="Compact"/>
              <w:jc w:val="left"/>
            </w:pPr>
            <w:r>
              <w:t xml:space="preserve">1 lot</w:t>
            </w:r>
          </w:p>
        </w:tc>
        <w:tc>
          <w:tcPr/>
          <w:p>
            <w:pPr>
              <w:pStyle w:val="Compact"/>
              <w:jc w:val="left"/>
            </w:pPr>
            <w:r>
              <w:t xml:space="preserve">€ 54,750.00</w:t>
            </w:r>
          </w:p>
        </w:tc>
        <w:tc>
          <w:tcPr/>
          <w:p>
            <w:pPr>
              <w:pStyle w:val="Compact"/>
              <w:jc w:val="left"/>
            </w:pPr>
            <w:r>
              <w:t xml:space="preserve">€ 54,750.00</w:t>
            </w:r>
          </w:p>
        </w:tc>
      </w:tr>
      <w:tr>
        <w:tc>
          <w:tcPr/>
          <w:p>
            <w:pPr>
              <w:pStyle w:val="Compact"/>
              <w:jc w:val="left"/>
            </w:pPr>
            <w:r>
              <w:t xml:space="preserve">04</w:t>
            </w:r>
          </w:p>
        </w:tc>
        <w:tc>
          <w:tcPr/>
          <w:p>
            <w:pPr>
              <w:pStyle w:val="Compact"/>
              <w:jc w:val="left"/>
            </w:pPr>
            <w:r>
              <w:t xml:space="preserve">Building Permit Application Package (permis de construire) preparation and submission to Ville de Lyon</w:t>
            </w:r>
          </w:p>
        </w:tc>
        <w:tc>
          <w:tcPr/>
          <w:p>
            <w:pPr>
              <w:pStyle w:val="Compact"/>
              <w:jc w:val="left"/>
            </w:pPr>
            <w:r>
              <w:t xml:space="preserve">Phase 4 — PC</w:t>
            </w:r>
          </w:p>
        </w:tc>
        <w:tc>
          <w:tcPr/>
          <w:p>
            <w:pPr>
              <w:pStyle w:val="Compact"/>
              <w:jc w:val="left"/>
            </w:pPr>
            <w:r>
              <w:t xml:space="preserve">1 lot</w:t>
            </w:r>
          </w:p>
        </w:tc>
        <w:tc>
          <w:tcPr/>
          <w:p>
            <w:pPr>
              <w:pStyle w:val="Compact"/>
              <w:jc w:val="left"/>
            </w:pPr>
            <w:r>
              <w:t xml:space="preserve">€ 12,300.00</w:t>
            </w:r>
          </w:p>
        </w:tc>
        <w:tc>
          <w:tcPr/>
          <w:p>
            <w:pPr>
              <w:pStyle w:val="Compact"/>
              <w:jc w:val="left"/>
            </w:pPr>
            <w:r>
              <w:t xml:space="preserve">€ 12,300.00</w:t>
            </w:r>
          </w:p>
        </w:tc>
      </w:tr>
      <w:tr>
        <w:tc>
          <w:tcPr/>
          <w:p>
            <w:pPr>
              <w:pStyle w:val="Compact"/>
              <w:jc w:val="left"/>
            </w:pPr>
            <w:r>
              <w:t xml:space="preserve">05</w:t>
            </w:r>
          </w:p>
        </w:tc>
        <w:tc>
          <w:tcPr/>
          <w:p>
            <w:pPr>
              <w:pStyle w:val="Compact"/>
              <w:jc w:val="left"/>
            </w:pPr>
            <w:r>
              <w:t xml:space="preserve">Construction Phase Support: site visits, design queries, value engineering, and as-built documentation</w:t>
            </w:r>
          </w:p>
        </w:tc>
        <w:tc>
          <w:tcPr/>
          <w:p>
            <w:pPr>
              <w:pStyle w:val="Compact"/>
              <w:jc w:val="left"/>
            </w:pPr>
            <w:r>
              <w:t xml:space="preserve">Phase 5 — EXE</w:t>
            </w:r>
          </w:p>
        </w:tc>
        <w:tc>
          <w:tcPr/>
          <w:p>
            <w:pPr>
              <w:pStyle w:val="Compact"/>
              <w:jc w:val="left"/>
            </w:pPr>
            <w:r>
              <w:t xml:space="preserve">12 months</w:t>
            </w:r>
          </w:p>
        </w:tc>
        <w:tc>
          <w:tcPr/>
          <w:p>
            <w:pPr>
              <w:pStyle w:val="Compact"/>
              <w:jc w:val="left"/>
            </w:pPr>
            <w:r>
              <w:t xml:space="preserve">€ 8,200.00/mo</w:t>
            </w:r>
          </w:p>
        </w:tc>
        <w:tc>
          <w:tcPr/>
          <w:p>
            <w:pPr>
              <w:pStyle w:val="Compact"/>
              <w:jc w:val="left"/>
            </w:pPr>
            <w:r>
              <w:t xml:space="preserve">€ 98,400.00</w:t>
            </w:r>
          </w:p>
        </w:tc>
      </w:tr>
      <w:tr>
        <w:tc>
          <w:tcPr/>
          <w:p>
            <w:pPr>
              <w:pStyle w:val="Compact"/>
              <w:jc w:val="left"/>
            </w:pPr>
            <w:r>
              <w:t xml:space="preserve">06</w:t>
            </w:r>
          </w:p>
        </w:tc>
        <w:tc>
          <w:tcPr/>
          <w:p>
            <w:pPr>
              <w:pStyle w:val="Compact"/>
              <w:jc w:val="left"/>
            </w:pPr>
            <w:r>
              <w:t xml:space="preserve">Energy Performance Modelling (RE2020 compliance) and DPE pre-assessment</w:t>
            </w:r>
          </w:p>
        </w:tc>
        <w:tc>
          <w:tcPr/>
          <w:p>
            <w:pPr>
              <w:pStyle w:val="Compact"/>
              <w:jc w:val="left"/>
            </w:pPr>
            <w:r>
              <w:t xml:space="preserve">Supplementary</w:t>
            </w:r>
          </w:p>
        </w:tc>
        <w:tc>
          <w:tcPr/>
          <w:p>
            <w:pPr>
              <w:pStyle w:val="Compact"/>
              <w:jc w:val="left"/>
            </w:pPr>
            <w:r>
              <w:t xml:space="preserve">1 lot</w:t>
            </w:r>
          </w:p>
        </w:tc>
        <w:tc>
          <w:tcPr/>
          <w:p>
            <w:pPr>
              <w:pStyle w:val="Compact"/>
              <w:jc w:val="left"/>
            </w:pPr>
            <w:r>
              <w:t xml:space="preserve">€ 6,800.00</w:t>
            </w:r>
          </w:p>
        </w:tc>
        <w:tc>
          <w:tcPr/>
          <w:p>
            <w:pPr>
              <w:pStyle w:val="Compact"/>
              <w:jc w:val="left"/>
            </w:pPr>
            <w:r>
              <w:t xml:space="preserve">€ 6,800.00</w:t>
            </w:r>
          </w:p>
        </w:tc>
      </w:tr>
      <w:tr>
        <w:tc>
          <w:tcPr/>
          <w:p>
            <w:pPr>
              <w:pStyle w:val="Compact"/>
              <w:jc w:val="left"/>
            </w:pPr>
            <w:r>
              <w:t xml:space="preserve">07</w:t>
            </w:r>
          </w:p>
        </w:tc>
        <w:tc>
          <w:tcPr/>
          <w:p>
            <w:pPr>
              <w:pStyle w:val="Compact"/>
              <w:jc w:val="left"/>
            </w:pPr>
            <w:r>
              <w:t xml:space="preserve">Landscape &amp; Exterior Integration Design in accordance with Lyon Métropole green space regulations</w:t>
            </w:r>
          </w:p>
        </w:tc>
        <w:tc>
          <w:tcPr/>
          <w:p>
            <w:pPr>
              <w:pStyle w:val="Compact"/>
              <w:jc w:val="left"/>
            </w:pPr>
            <w:r>
              <w:t xml:space="preserve">Supplementary</w:t>
            </w:r>
          </w:p>
        </w:tc>
        <w:tc>
          <w:tcPr/>
          <w:p>
            <w:pPr>
              <w:pStyle w:val="Compact"/>
              <w:jc w:val="left"/>
            </w:pPr>
            <w:r>
              <w:t xml:space="preserve">1 lot</w:t>
            </w:r>
          </w:p>
        </w:tc>
        <w:tc>
          <w:tcPr/>
          <w:p>
            <w:pPr>
              <w:pStyle w:val="Compact"/>
              <w:jc w:val="left"/>
            </w:pPr>
            <w:r>
              <w:t xml:space="preserve">€ 9,450.00</w:t>
            </w:r>
          </w:p>
        </w:tc>
        <w:tc>
          <w:tcPr/>
          <w:p>
            <w:pPr>
              <w:pStyle w:val="Compact"/>
              <w:jc w:val="left"/>
            </w:pPr>
            <w:r>
              <w:t xml:space="preserve">€ 9,450.00</w:t>
            </w:r>
          </w:p>
        </w:tc>
      </w:tr>
      <w:tr>
        <w:tc>
          <w:tcPr>
            <w:gridSpan w:val="5"/>
          </w:tcPr>
          <w:p>
            <w:pPr>
              <w:pStyle w:val="Compact"/>
              <w:jc w:val="right"/>
            </w:pPr>
            <w:r>
              <w:t xml:space="preserve">Subtotal (excl. TVA)</w:t>
            </w:r>
          </w:p>
        </w:tc>
        <w:tc>
          <w:tcPr/>
          <w:p>
            <w:pPr>
              <w:pStyle w:val="Compact"/>
              <w:jc w:val="left"/>
            </w:pPr>
            <w:r>
              <w:t xml:space="preserve">€ 232,200.00</w:t>
            </w:r>
          </w:p>
        </w:tc>
      </w:tr>
      <w:tr>
        <w:tc>
          <w:tcPr>
            <w:gridSpan w:val="5"/>
          </w:tcPr>
          <w:p>
            <w:pPr>
              <w:pStyle w:val="Compact"/>
              <w:jc w:val="right"/>
            </w:pPr>
            <w:r>
              <w:t xml:space="preserve">TVA (20% — French Value Added Tax)</w:t>
            </w:r>
          </w:p>
        </w:tc>
        <w:tc>
          <w:tcPr/>
          <w:p>
            <w:pPr>
              <w:pStyle w:val="Compact"/>
              <w:jc w:val="left"/>
            </w:pPr>
            <w:r>
              <w:t xml:space="preserve">€ 46,440.00</w:t>
            </w:r>
          </w:p>
        </w:tc>
      </w:tr>
      <w:tr>
        <w:tc>
          <w:tcPr>
            <w:gridSpan w:val="5"/>
          </w:tcPr>
          <w:p>
            <w:pPr>
              <w:pStyle w:val="Compact"/>
              <w:jc w:val="right"/>
            </w:pPr>
            <w:r>
              <w:t xml:space="preserve">TOTAL AMOUNT DUE (TTC)</w:t>
            </w:r>
          </w:p>
        </w:tc>
        <w:tc>
          <w:tcPr/>
          <w:p>
            <w:pPr>
              <w:pStyle w:val="Compact"/>
              <w:jc w:val="left"/>
            </w:pPr>
            <w:r>
              <w:t xml:space="preserve">€ 278,640.00</w:t>
            </w:r>
          </w:p>
        </w:tc>
      </w:tr>
    </w:tbl>
    <w:bookmarkEnd w:id="23"/>
    <w:bookmarkStart w:id="24" w:name="payment-terms"/>
    <w:p>
      <w:pPr>
        <w:pStyle w:val="Heading2"/>
      </w:pPr>
      <w:r>
        <w:t xml:space="preserve">4. Payment Terms</w:t>
      </w:r>
    </w:p>
    <w:p>
      <w:pPr>
        <w:pStyle w:val="FirstParagraph"/>
      </w:pPr>
      <w:r>
        <w:t xml:space="preserve">Payment shall be made in accordance with the following milestone schedule, with each invoice due within thirty (30) calendar days of receipt of a valid invoice issued by the Architect: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 TTC)</w:t>
            </w:r>
          </w:p>
        </w:tc>
      </w:tr>
      <w:tr>
        <w:tc>
          <w:tcPr/>
          <w:p>
            <w:pPr>
              <w:pStyle w:val="Compact"/>
              <w:jc w:val="left"/>
            </w:pPr>
            <w:r>
              <w:t xml:space="preserve">Upon signature of this Purchase Order</w:t>
            </w:r>
          </w:p>
        </w:tc>
        <w:tc>
          <w:tcPr/>
          <w:p>
            <w:pPr>
              <w:pStyle w:val="Compact"/>
              <w:jc w:val="left"/>
            </w:pPr>
            <w:r>
              <w:t xml:space="preserve">15%</w:t>
            </w:r>
          </w:p>
        </w:tc>
        <w:tc>
          <w:tcPr/>
          <w:p>
            <w:pPr>
              <w:pStyle w:val="Compact"/>
              <w:jc w:val="left"/>
            </w:pPr>
            <w:r>
              <w:t xml:space="preserve">€ 41,796.00</w:t>
            </w:r>
          </w:p>
        </w:tc>
      </w:tr>
      <w:tr>
        <w:tc>
          <w:tcPr/>
          <w:p>
            <w:pPr>
              <w:pStyle w:val="Compact"/>
              <w:jc w:val="left"/>
            </w:pPr>
            <w:r>
              <w:t xml:space="preserve">Upon approval of Phase 2 (APS) deliverables</w:t>
            </w:r>
          </w:p>
        </w:tc>
        <w:tc>
          <w:tcPr/>
          <w:p>
            <w:pPr>
              <w:pStyle w:val="Compact"/>
              <w:jc w:val="left"/>
            </w:pPr>
            <w:r>
              <w:t xml:space="preserve">25%</w:t>
            </w:r>
          </w:p>
        </w:tc>
        <w:tc>
          <w:tcPr/>
          <w:p>
            <w:pPr>
              <w:pStyle w:val="Compact"/>
              <w:jc w:val="left"/>
            </w:pPr>
            <w:r>
              <w:t xml:space="preserve">€ 69,660.00</w:t>
            </w:r>
          </w:p>
        </w:tc>
      </w:tr>
      <w:tr>
        <w:tc>
          <w:tcPr/>
          <w:p>
            <w:pPr>
              <w:pStyle w:val="Compact"/>
              <w:jc w:val="left"/>
            </w:pPr>
            <w:r>
              <w:t xml:space="preserve">Upon approval of Phase 3 (APD) deliverables</w:t>
            </w:r>
          </w:p>
        </w:tc>
        <w:tc>
          <w:tcPr/>
          <w:p>
            <w:pPr>
              <w:pStyle w:val="Compact"/>
              <w:jc w:val="left"/>
            </w:pPr>
            <w:r>
              <w:t xml:space="preserve">30%</w:t>
            </w:r>
          </w:p>
        </w:tc>
        <w:tc>
          <w:tcPr/>
          <w:p>
            <w:pPr>
              <w:pStyle w:val="Compact"/>
              <w:jc w:val="left"/>
            </w:pPr>
            <w:r>
              <w:t xml:space="preserve">€ 83,592.00</w:t>
            </w:r>
          </w:p>
        </w:tc>
      </w:tr>
      <w:tr>
        <w:tc>
          <w:tcPr/>
          <w:p>
            <w:pPr>
              <w:pStyle w:val="Compact"/>
              <w:jc w:val="left"/>
            </w:pPr>
            <w:r>
              <w:t xml:space="preserve">Upon grant of building permit by Ville de Lyon</w:t>
            </w:r>
          </w:p>
        </w:tc>
        <w:tc>
          <w:tcPr/>
          <w:p>
            <w:pPr>
              <w:pStyle w:val="Compact"/>
              <w:jc w:val="left"/>
            </w:pPr>
            <w:r>
              <w:t xml:space="preserve">15%</w:t>
            </w:r>
          </w:p>
        </w:tc>
        <w:tc>
          <w:tcPr/>
          <w:p>
            <w:pPr>
              <w:pStyle w:val="Compact"/>
              <w:jc w:val="left"/>
            </w:pPr>
            <w:r>
              <w:t xml:space="preserve">€ 41,796.00</w:t>
            </w:r>
          </w:p>
        </w:tc>
      </w:tr>
      <w:tr>
        <w:tc>
          <w:tcPr/>
          <w:p>
            <w:pPr>
              <w:pStyle w:val="Compact"/>
              <w:jc w:val="left"/>
            </w:pPr>
            <w:r>
              <w:t xml:space="preserve">Upon completion of Phase 5 (EXE) and handover of as-built documents</w:t>
            </w:r>
          </w:p>
        </w:tc>
        <w:tc>
          <w:tcPr/>
          <w:p>
            <w:pPr>
              <w:pStyle w:val="Compact"/>
              <w:jc w:val="left"/>
            </w:pPr>
            <w:r>
              <w:t xml:space="preserve">15%</w:t>
            </w:r>
          </w:p>
        </w:tc>
        <w:tc>
          <w:tcPr/>
          <w:p>
            <w:pPr>
              <w:pStyle w:val="Compact"/>
              <w:jc w:val="left"/>
            </w:pPr>
            <w:r>
              <w:t xml:space="preserve">€ 41,796.00</w:t>
            </w:r>
          </w:p>
        </w:tc>
      </w:tr>
    </w:tbl>
    <w:p>
      <w:pPr>
        <w:pStyle w:val="BodyText"/>
      </w:pPr>
      <w:r>
        <w:t xml:space="preserve">All payments shall be made via bank transfer (virement bancaire) to the account of Cabinet d'Architecture Moreau &amp; Associés, IBAN: FR76 3000 4000 0312 3456 7890 123, BIC: BNPAFRPPXXX. Late payments shall accrue interest at the rate prescribed by Article L441-10 of the French Commercial Code.</w:t>
      </w:r>
    </w:p>
    <w:bookmarkEnd w:id="24"/>
    <w:bookmarkStart w:id="25" w:name="terms-and-conditions"/>
    <w:p>
      <w:pPr>
        <w:pStyle w:val="Heading2"/>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 arising from or in connection with this Purchase Order shall be submitted to the exclusive jurisdiction of the Tribunal de Commerce de Lyon, France.</w:t>
      </w:r>
    </w:p>
    <w:p>
      <w:pPr>
        <w:numPr>
          <w:ilvl w:val="0"/>
          <w:numId w:val="1001"/>
        </w:numPr>
        <w:pStyle w:val="Compact"/>
      </w:pPr>
      <w:r>
        <w:rPr>
          <w:bCs/>
          <w:b/>
        </w:rPr>
        <w:t xml:space="preserve">Architect's Professional Liability:</w:t>
      </w:r>
      <w:r>
        <w:t xml:space="preserve"> </w:t>
      </w:r>
      <w:r>
        <w:t xml:space="preserve">The Architect shall maintain professional indemnity insurance (assurance responsabilité civile professionnelle) with a minimum coverage of € 5,000,000 per claim, in compliance with the regulations of the Ordre des Architectes. A certificate of insurance shall be provided prior to commencement of work.</w:t>
      </w:r>
    </w:p>
    <w:p>
      <w:pPr>
        <w:numPr>
          <w:ilvl w:val="0"/>
          <w:numId w:val="1001"/>
        </w:numPr>
        <w:pStyle w:val="Compact"/>
      </w:pPr>
      <w:r>
        <w:rPr>
          <w:bCs/>
          <w:b/>
        </w:rPr>
        <w:t xml:space="preserve">Intellectual Property:</w:t>
      </w:r>
      <w:r>
        <w:t xml:space="preserve"> </w:t>
      </w:r>
      <w:r>
        <w:t xml:space="preserve">All architectural drawings, designs, models, and documentation produced under this Purchase Order shall become the exclusive property of the Purchasing Party upon full payment. The Architect retains the right to display the completed project in their professional portfolio, subject to prior written consent of the Purchasing Party.</w:t>
      </w:r>
    </w:p>
    <w:p>
      <w:pPr>
        <w:numPr>
          <w:ilvl w:val="0"/>
          <w:numId w:val="1001"/>
        </w:numPr>
        <w:pStyle w:val="Compact"/>
      </w:pPr>
      <w:r>
        <w:rPr>
          <w:bCs/>
          <w:b/>
        </w:rPr>
        <w:t xml:space="preserve">Compliance with Local Regulations:</w:t>
      </w:r>
      <w:r>
        <w:t xml:space="preserve"> </w:t>
      </w:r>
      <w:r>
        <w:t xml:space="preserve">The Architect warrants that all deliverables shall comply with the PLU of Lyon, the regulations of the Métropole de Lyon, the RE2020 energy standard, the French Accessibility Code, and any heritage or environmental constraints applicable to the site in the 3rd arrondissement of Lyon.</w:t>
      </w:r>
    </w:p>
    <w:p>
      <w:pPr>
        <w:numPr>
          <w:ilvl w:val="0"/>
          <w:numId w:val="1001"/>
        </w:numPr>
        <w:pStyle w:val="Compact"/>
      </w:pPr>
      <w:r>
        <w:rPr>
          <w:bCs/>
          <w:b/>
        </w:rPr>
        <w:t xml:space="preserve">Confidentiality:</w:t>
      </w:r>
      <w:r>
        <w:t xml:space="preserve"> </w:t>
      </w:r>
      <w:r>
        <w:t xml:space="preserve">Both parties agree to treat all project information, site data, and commercial terms as strictly confidential.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termination, the Architect shall be compensated for all work completed and approved up to the date of termination, plus a reasonable demobilisation fee not exceeding 5% of the remaining contract value.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operations in Lyon, France.</w:t>
      </w:r>
    </w:p>
    <w:p>
      <w:pPr>
        <w:numPr>
          <w:ilvl w:val="0"/>
          <w:numId w:val="1001"/>
        </w:numPr>
        <w:pStyle w:val="Compact"/>
      </w:pPr>
      <w:r>
        <w:rPr>
          <w:bCs/>
          <w:b/>
        </w:rPr>
        <w:t xml:space="preserve">Subcontracting:</w:t>
      </w:r>
      <w:r>
        <w:t xml:space="preserve"> </w:t>
      </w:r>
      <w:r>
        <w:t xml:space="preserve">The Architect shall not subcontract any portion of the architectural services without the prior written consent of the Purchasing Party. Any approved subcontractor shall be bound by the same terms and conditions as set forth in this Purchase Order.</w:t>
      </w:r>
    </w:p>
    <w:bookmarkEnd w:id="25"/>
    <w:bookmarkStart w:id="26" w:name="acceptance-and-signatures"/>
    <w:p>
      <w:pPr>
        <w:pStyle w:val="Heading2"/>
      </w:pPr>
      <w:r>
        <w:t xml:space="preserve">6. Acceptance and Signatures</w:t>
      </w:r>
    </w:p>
    <w:p>
      <w:pPr>
        <w:pStyle w:val="FirstParagraph"/>
      </w:pPr>
      <w:r>
        <w:t xml:space="preserve">By signing below, both parties acknowledge that they have read, understood, and agree to all terms and conditions set forth in this Purchase Order for architectural services to be performed in Lyon, France. This document constitutes a binding agreement between the Purchasing Party and the Architect.</w:t>
      </w:r>
    </w:p>
    <w:p>
      <w:pPr>
        <w:pStyle w:val="BodyText"/>
      </w:pPr>
      <w:r>
        <w:rPr>
          <w:bCs/>
          <w:b/>
        </w:rPr>
        <w:t xml:space="preserve">For and on behalf of the Purchasing Party:</w:t>
      </w:r>
    </w:p>
    <w:p>
      <w:pPr>
        <w:pStyle w:val="BodyText"/>
      </w:pPr>
      <w:r>
        <w:t xml:space="preserve">Groupe Immobilier Rhône-Alpes S.A.S.</w:t>
      </w:r>
    </w:p>
    <w:p>
      <w:pPr>
        <w:pStyle w:val="BodyText"/>
      </w:pPr>
      <w:r>
        <w:t xml:space="preserve">Name: M. Laurent Delacroix</w:t>
      </w:r>
      <w:r>
        <w:br/>
      </w:r>
      <w:r>
        <w:t xml:space="preserve">Title: Director of Procurement</w:t>
      </w:r>
      <w:r>
        <w:br/>
      </w:r>
      <w:r>
        <w:t xml:space="preserve">Signature: _________________________</w:t>
      </w:r>
      <w:r>
        <w:br/>
      </w:r>
      <w:r>
        <w:t xml:space="preserve">Date: _________________________</w:t>
      </w:r>
    </w:p>
    <w:p>
      <w:pPr>
        <w:pStyle w:val="BodyText"/>
      </w:pPr>
      <w:r>
        <w:rPr>
          <w:bCs/>
          <w:b/>
        </w:rPr>
        <w:t xml:space="preserve">For and on behalf of the Architect:</w:t>
      </w:r>
    </w:p>
    <w:p>
      <w:pPr>
        <w:pStyle w:val="BodyText"/>
      </w:pPr>
      <w:r>
        <w:t xml:space="preserve">Cabinet d'Architecture Moreau &amp; Associés</w:t>
      </w:r>
    </w:p>
    <w:p>
      <w:pPr>
        <w:pStyle w:val="BodyText"/>
      </w:pPr>
      <w:r>
        <w:t xml:space="preserve">Name: Mme. Claire Moreau, Architecte DPLG</w:t>
      </w:r>
      <w:r>
        <w:br/>
      </w:r>
      <w:r>
        <w:t xml:space="preserve">Title: Principal Architect</w:t>
      </w:r>
      <w:r>
        <w:br/>
      </w:r>
      <w:r>
        <w:t xml:space="preserve">Signature: _________________________</w:t>
      </w:r>
      <w:r>
        <w:br/>
      </w:r>
      <w:r>
        <w:t xml:space="preserve">Date: _________________________</w:t>
      </w:r>
    </w:p>
    <w:bookmarkEnd w:id="26"/>
    <w:p>
      <w:pPr>
        <w:pStyle w:val="BodyText"/>
      </w:pPr>
      <w:r>
        <w:t xml:space="preserve">Purchase Order No. PO-LYON-2025-04782</w:t>
      </w:r>
      <w:r>
        <w:t xml:space="preserve"> </w:t>
      </w:r>
      <w:r>
        <w:t xml:space="preserve">— Architectural Services — Lyon, France</w:t>
      </w:r>
      <w:r>
        <w:br/>
      </w:r>
      <w:r>
        <w:t xml:space="preserve">This document is issued in two (2) original copies, one for each party. All communications regarding this Purchase Order shall be directed to the contact persons listed in Section 1.</w:t>
      </w:r>
      <w:r>
        <w:br/>
      </w:r>
      <w:r>
        <w:t xml:space="preserve">© 2025 Groupe Immobilier Rhône-Alpes S.A.S.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Architectural Services - Lyon, France</dc:title>
  <dc:creator/>
  <dc:language>en</dc:language>
  <cp:keywords/>
  <dcterms:created xsi:type="dcterms:W3CDTF">2026-10-10T03:38:23Z</dcterms:created>
  <dcterms:modified xsi:type="dcterms:W3CDTF">2026-10-10T03:38:23Z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