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Architectural Services Procurement — Germany Berlin</w:t>
      </w:r>
    </w:p>
    <w:p>
      <w:pPr>
        <w:pStyle w:val="BodyText"/>
      </w:pPr>
      <w:r>
        <w:t xml:space="preserve">Issued under the Commercial Code of Germany (Handelsgesetzbuch § 365)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PO-BER-2025-00472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Project Location:</w:t>
            </w:r>
          </w:p>
        </w:tc>
        <w:tc>
          <w:tcPr/>
          <w:p>
            <w:pPr>
              <w:pStyle w:val="Compact"/>
              <w:jc w:val="left"/>
            </w:pPr>
            <w:r>
              <w:t xml:space="preserve">Kreuzberg, 10997 Berlin, Germany</w:t>
            </w:r>
          </w:p>
        </w:tc>
      </w:tr>
      <w:tr>
        <w:tc>
          <w:tcPr/>
          <w:p>
            <w:pPr>
              <w:pStyle w:val="Compact"/>
              <w:jc w:val="left"/>
            </w:pPr>
            <w:r>
              <w:t xml:space="preserve">Governing Jurisdiction:</w:t>
            </w:r>
          </w:p>
        </w:tc>
        <w:tc>
          <w:tcPr/>
          <w:p>
            <w:pPr>
              <w:pStyle w:val="Compact"/>
              <w:jc w:val="left"/>
            </w:pPr>
            <w:r>
              <w:t xml:space="preserve">Germany Berlin — Landgericht Berlin (Berlin Regional Court)</w:t>
            </w:r>
          </w:p>
        </w:tc>
      </w:tr>
    </w:tbl>
    <w:p>
      <w:pPr>
        <w:pStyle w:val="BodyText"/>
      </w:pPr>
      <w:r>
        <w:t xml:space="preserve">1. PURCHASER (ORDERING PARTY)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Berlin Urban Development GmbH</w:t>
            </w:r>
          </w:p>
        </w:tc>
      </w:tr>
      <w:tr>
        <w:tc>
          <w:tcPr/>
          <w:p>
            <w:pPr>
              <w:pStyle w:val="Compact"/>
              <w:jc w:val="left"/>
            </w:pPr>
            <w:r>
              <w:t xml:space="preserve">Address:</w:t>
            </w:r>
          </w:p>
        </w:tc>
        <w:tc>
          <w:tcPr/>
          <w:p>
            <w:pPr>
              <w:pStyle w:val="Compact"/>
              <w:jc w:val="left"/>
            </w:pPr>
            <w:r>
              <w:t xml:space="preserve">Torstraße 142, 10119 Berlin, Germany</w:t>
            </w:r>
          </w:p>
        </w:tc>
      </w:tr>
      <w:tr>
        <w:tc>
          <w:tcPr/>
          <w:p>
            <w:pPr>
              <w:pStyle w:val="Compact"/>
              <w:jc w:val="left"/>
            </w:pPr>
            <w:r>
              <w:t xml:space="preserve">VAT ID (USt-IdNr.):</w:t>
            </w:r>
          </w:p>
        </w:tc>
        <w:tc>
          <w:tcPr/>
          <w:p>
            <w:pPr>
              <w:pStyle w:val="Compact"/>
              <w:jc w:val="left"/>
            </w:pPr>
            <w:r>
              <w:t xml:space="preserve">DE 318 456 789</w:t>
            </w:r>
          </w:p>
        </w:tc>
      </w:tr>
      <w:tr>
        <w:tc>
          <w:tcPr/>
          <w:p>
            <w:pPr>
              <w:pStyle w:val="Compact"/>
              <w:jc w:val="left"/>
            </w:pPr>
            <w:r>
              <w:t xml:space="preserve">Contact Person:</w:t>
            </w:r>
          </w:p>
        </w:tc>
        <w:tc>
          <w:tcPr/>
          <w:p>
            <w:pPr>
              <w:pStyle w:val="Compact"/>
              <w:jc w:val="left"/>
            </w:pPr>
            <w:r>
              <w:t xml:space="preserve">Dr. Markus Hoffmann, Head of Procurement</w:t>
            </w:r>
          </w:p>
        </w:tc>
      </w:tr>
      <w:tr>
        <w:tc>
          <w:tcPr/>
          <w:p>
            <w:pPr>
              <w:pStyle w:val="Compact"/>
              <w:jc w:val="left"/>
            </w:pPr>
            <w:r>
              <w:t xml:space="preserve">Email / Phone:</w:t>
            </w:r>
          </w:p>
        </w:tc>
        <w:tc>
          <w:tcPr/>
          <w:p>
            <w:pPr>
              <w:pStyle w:val="Compact"/>
              <w:jc w:val="left"/>
            </w:pPr>
            <w:r>
              <w:t xml:space="preserve">procurement@berlin-urban-dev.de / +49 30 5557 8200</w:t>
            </w:r>
          </w:p>
        </w:tc>
      </w:tr>
    </w:tbl>
    <w:p>
      <w:pPr>
        <w:pStyle w:val="BodyText"/>
      </w:pPr>
      <w:r>
        <w:t xml:space="preserve">2. VENDOR / ARCHITECT (SUPPLYING PARTY)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Firm Name:</w:t>
            </w:r>
          </w:p>
        </w:tc>
        <w:tc>
          <w:tcPr/>
          <w:p>
            <w:pPr>
              <w:pStyle w:val="Compact"/>
              <w:jc w:val="left"/>
            </w:pPr>
            <w:r>
              <w:t xml:space="preserve">Studio Weber &amp; Partner Architekten BDA</w:t>
            </w:r>
          </w:p>
        </w:tc>
      </w:tr>
      <w:tr>
        <w:tc>
          <w:tcPr/>
          <w:p>
            <w:pPr>
              <w:pStyle w:val="Compact"/>
              <w:jc w:val="left"/>
            </w:pPr>
            <w:r>
              <w:t xml:space="preserve">Lead Architect:</w:t>
            </w:r>
          </w:p>
        </w:tc>
        <w:tc>
          <w:tcPr/>
          <w:p>
            <w:pPr>
              <w:pStyle w:val="Compact"/>
              <w:jc w:val="left"/>
            </w:pPr>
            <w:r>
              <w:t xml:space="preserve">Prof. Dr. Ingrid Weber, Dipl.-Ing. (Arch.), BDA Member</w:t>
            </w:r>
          </w:p>
        </w:tc>
      </w:tr>
      <w:tr>
        <w:tc>
          <w:tcPr/>
          <w:p>
            <w:pPr>
              <w:pStyle w:val="Compact"/>
              <w:jc w:val="left"/>
            </w:pPr>
            <w:r>
              <w:t xml:space="preserve">Address:</w:t>
            </w:r>
          </w:p>
        </w:tc>
        <w:tc>
          <w:tcPr/>
          <w:p>
            <w:pPr>
              <w:pStyle w:val="Compact"/>
              <w:jc w:val="left"/>
            </w:pPr>
            <w:r>
              <w:t xml:space="preserve">Oranienstraße 24, 10999 Berlin, Germany</w:t>
            </w:r>
          </w:p>
        </w:tc>
      </w:tr>
      <w:tr>
        <w:tc>
          <w:tcPr/>
          <w:p>
            <w:pPr>
              <w:pStyle w:val="Compact"/>
              <w:jc w:val="left"/>
            </w:pPr>
            <w:r>
              <w:t xml:space="preserve">VAT ID (USt-IdNr.):</w:t>
            </w:r>
          </w:p>
        </w:tc>
        <w:tc>
          <w:tcPr/>
          <w:p>
            <w:pPr>
              <w:pStyle w:val="Compact"/>
              <w:jc w:val="left"/>
            </w:pPr>
            <w:r>
              <w:t xml:space="preserve">DE 294 112 334</w:t>
            </w:r>
          </w:p>
        </w:tc>
      </w:tr>
      <w:tr>
        <w:tc>
          <w:tcPr/>
          <w:p>
            <w:pPr>
              <w:pStyle w:val="Compact"/>
              <w:jc w:val="left"/>
            </w:pPr>
            <w:r>
              <w:t xml:space="preserve">Chamber Registration:</w:t>
            </w:r>
          </w:p>
        </w:tc>
        <w:tc>
          <w:tcPr/>
          <w:p>
            <w:pPr>
              <w:pStyle w:val="Compact"/>
              <w:jc w:val="left"/>
            </w:pPr>
            <w:r>
              <w:t xml:space="preserve">Berlin Architektenkammer, Reg. No. B-2019-04471</w:t>
            </w:r>
          </w:p>
        </w:tc>
      </w:tr>
      <w:tr>
        <w:tc>
          <w:tcPr/>
          <w:p>
            <w:pPr>
              <w:pStyle w:val="Compact"/>
              <w:jc w:val="left"/>
            </w:pPr>
            <w:r>
              <w:t xml:space="preserve">Professional Liability Insurance:</w:t>
            </w:r>
          </w:p>
        </w:tc>
        <w:tc>
          <w:tcPr/>
          <w:p>
            <w:pPr>
              <w:pStyle w:val="Compact"/>
              <w:jc w:val="left"/>
            </w:pPr>
            <w:r>
              <w:t xml:space="preserve">AXA Deutschland AG, Policy No. AXA-PL-882341, Coverage: €5,000,000</w:t>
            </w:r>
          </w:p>
        </w:tc>
      </w:tr>
    </w:tbl>
    <w:p>
      <w:pPr>
        <w:pStyle w:val="BodyText"/>
      </w:pPr>
      <w:r>
        <w:t xml:space="preserve">3. DESCRIPTION OF ARCHITECTURAL SERVICES</w:t>
      </w:r>
    </w:p>
    <w:p>
      <w:pPr>
        <w:pStyle w:val="BodyText"/>
      </w:pPr>
      <w:r>
        <w:t xml:space="preserve">This Purchase Order is issued by Berlin Urban Development GmbH to engage the above-named Architect firm for the full-scope architectural design, planning, and project management services for the construction of a mixed-use residential and commercial building at the site located at Oranienstraße 24, Kreuzberg, 10997 Berlin, Germany. The Architect shall comply with all applicable building regulations of the State of Berlin (Bauordnung Berlin — BlnBauO), the German Building Code (BauGB), and all relevant DIN standards. The Architect is responsible for producing all construction documents, obtaining necessary building permits from the Berliner Bauaufsicht, and overseeing the execution phase in accordance with the HOAI (Honorarordnung für Architekten und Ingenieure) fee schedule.</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HOAI Phase</w:t>
            </w:r>
          </w:p>
        </w:tc>
        <w:tc>
          <w:tcPr/>
          <w:p>
            <w:pPr>
              <w:pStyle w:val="Compact"/>
              <w:jc w:val="left"/>
            </w:pPr>
            <w:r>
              <w:t xml:space="preserve">Quantity / Scope</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Feasibility study, site analysis, and preliminary concept design for the 12-storey mixed-use building in Kreuzberg, Berlin</w:t>
            </w:r>
          </w:p>
        </w:tc>
        <w:tc>
          <w:tcPr/>
          <w:p>
            <w:pPr>
              <w:pStyle w:val="Compact"/>
              <w:jc w:val="left"/>
            </w:pPr>
            <w:r>
              <w:t xml:space="preserve">Phase 1 (LP 1)</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Planning design (Entwurfsplanung), structural coordination, and energy concept per GEG (Gebäudeenergiegesetz)</w:t>
            </w:r>
          </w:p>
        </w:tc>
        <w:tc>
          <w:tcPr/>
          <w:p>
            <w:pPr>
              <w:pStyle w:val="Compact"/>
              <w:jc w:val="left"/>
            </w:pPr>
            <w:r>
              <w:t xml:space="preserve">Phase 2 (LP 2)</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Approval design (Genehmigungsplanung), preparation and submission of full building permit application to the Berliner Bauaufsichtsbehörde</w:t>
            </w:r>
          </w:p>
        </w:tc>
        <w:tc>
          <w:tcPr/>
          <w:p>
            <w:pPr>
              <w:pStyle w:val="Compact"/>
              <w:jc w:val="left"/>
            </w:pPr>
            <w:r>
              <w:t xml:space="preserve">Phase 3 (LP 3)</w:t>
            </w:r>
          </w:p>
        </w:tc>
        <w:tc>
          <w:tcPr/>
          <w:p>
            <w:pPr>
              <w:pStyle w:val="Compact"/>
              <w:jc w:val="left"/>
            </w:pPr>
            <w:r>
              <w:t xml:space="preserve">1 project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4</w:t>
            </w:r>
          </w:p>
        </w:tc>
        <w:tc>
          <w:tcPr/>
          <w:p>
            <w:pPr>
              <w:pStyle w:val="Compact"/>
              <w:jc w:val="left"/>
            </w:pPr>
            <w:r>
              <w:t xml:space="preserve">Tender design (Ausführungsplanung), detailed construction drawings, specifications, and bill of quantities</w:t>
            </w:r>
          </w:p>
        </w:tc>
        <w:tc>
          <w:tcPr/>
          <w:p>
            <w:pPr>
              <w:pStyle w:val="Compact"/>
              <w:jc w:val="left"/>
            </w:pPr>
            <w:r>
              <w:t xml:space="preserve">Phase 4 (LP 4)</w:t>
            </w:r>
          </w:p>
        </w:tc>
        <w:tc>
          <w:tcPr/>
          <w:p>
            <w:pPr>
              <w:pStyle w:val="Compact"/>
              <w:jc w:val="left"/>
            </w:pPr>
            <w:r>
              <w:t xml:space="preserve">1 project</w:t>
            </w:r>
          </w:p>
        </w:tc>
        <w:tc>
          <w:tcPr/>
          <w:p>
            <w:pPr>
              <w:pStyle w:val="Compact"/>
              <w:jc w:val="left"/>
            </w:pPr>
            <w:r>
              <w:t xml:space="preserve">41,200.00</w:t>
            </w:r>
          </w:p>
        </w:tc>
        <w:tc>
          <w:tcPr/>
          <w:p>
            <w:pPr>
              <w:pStyle w:val="Compact"/>
              <w:jc w:val="left"/>
            </w:pPr>
            <w:r>
              <w:t xml:space="preserve">41,200.00</w:t>
            </w:r>
          </w:p>
        </w:tc>
      </w:tr>
      <w:tr>
        <w:tc>
          <w:tcPr/>
          <w:p>
            <w:pPr>
              <w:pStyle w:val="Compact"/>
              <w:jc w:val="left"/>
            </w:pPr>
            <w:r>
              <w:t xml:space="preserve">5</w:t>
            </w:r>
          </w:p>
        </w:tc>
        <w:tc>
          <w:tcPr/>
          <w:p>
            <w:pPr>
              <w:pStyle w:val="Compact"/>
              <w:jc w:val="left"/>
            </w:pPr>
            <w:r>
              <w:t xml:space="preserve">Construction site supervision (Bauleitung), weekly site inspections, quality assurance, and coordination with subcontractors</w:t>
            </w:r>
          </w:p>
        </w:tc>
        <w:tc>
          <w:tcPr/>
          <w:p>
            <w:pPr>
              <w:pStyle w:val="Compact"/>
              <w:jc w:val="left"/>
            </w:pPr>
            <w:r>
              <w:t xml:space="preserve">Phase 5 (LP 5)</w:t>
            </w:r>
          </w:p>
        </w:tc>
        <w:tc>
          <w:tcPr/>
          <w:p>
            <w:pPr>
              <w:pStyle w:val="Compact"/>
              <w:jc w:val="left"/>
            </w:pPr>
            <w:r>
              <w:t xml:space="preserve">18 months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6</w:t>
            </w:r>
          </w:p>
        </w:tc>
        <w:tc>
          <w:tcPr/>
          <w:p>
            <w:pPr>
              <w:pStyle w:val="Compact"/>
              <w:jc w:val="left"/>
            </w:pPr>
            <w:r>
              <w:t xml:space="preserve">Final documentation, as-built drawings, warranty period support, and handover to the owner in Berlin</w:t>
            </w:r>
          </w:p>
        </w:tc>
        <w:tc>
          <w:tcPr/>
          <w:p>
            <w:pPr>
              <w:pStyle w:val="Compact"/>
              <w:jc w:val="left"/>
            </w:pPr>
            <w:r>
              <w:t xml:space="preserve">Phase 6 (LP 6)</w:t>
            </w:r>
          </w:p>
        </w:tc>
        <w:tc>
          <w:tcPr/>
          <w:p>
            <w:pPr>
              <w:pStyle w:val="Compact"/>
              <w:jc w:val="left"/>
            </w:pPr>
            <w:r>
              <w:t xml:space="preserve">1 project</w:t>
            </w:r>
          </w:p>
        </w:tc>
        <w:tc>
          <w:tcPr/>
          <w:p>
            <w:pPr>
              <w:pStyle w:val="Compact"/>
              <w:jc w:val="left"/>
            </w:pPr>
            <w:r>
              <w:t xml:space="preserve">14,800.00</w:t>
            </w:r>
          </w:p>
        </w:tc>
        <w:tc>
          <w:tcPr/>
          <w:p>
            <w:pPr>
              <w:pStyle w:val="Compact"/>
              <w:jc w:val="left"/>
            </w:pPr>
            <w:r>
              <w:t xml:space="preserve">14,800.00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€ 187,250.00</w:t>
            </w:r>
          </w:p>
        </w:tc>
      </w:tr>
      <w:tr>
        <w:tc>
          <w:tcPr/>
          <w:p>
            <w:pPr>
              <w:pStyle w:val="Compact"/>
              <w:jc w:val="left"/>
            </w:pPr>
            <w:r>
              <w:t xml:space="preserve">VAT (Mehrwertsteuer) 19%:</w:t>
            </w:r>
          </w:p>
        </w:tc>
        <w:tc>
          <w:tcPr/>
          <w:p>
            <w:pPr>
              <w:pStyle w:val="Compact"/>
              <w:jc w:val="right"/>
            </w:pPr>
            <w:r>
              <w:t xml:space="preserve">€ 35,577.50</w:t>
            </w:r>
          </w:p>
        </w:tc>
      </w:tr>
      <w:tr>
        <w:tc>
          <w:tcPr/>
          <w:p>
            <w:pPr>
              <w:pStyle w:val="Compact"/>
              <w:jc w:val="left"/>
            </w:pPr>
            <w:r>
              <w:t xml:space="preserve">Grand Total (Net + VAT):</w:t>
            </w:r>
          </w:p>
        </w:tc>
        <w:tc>
          <w:tcPr/>
          <w:p>
            <w:pPr>
              <w:pStyle w:val="Compact"/>
              <w:jc w:val="right"/>
            </w:pPr>
            <w:r>
              <w:t xml:space="preserve">€ 222,827.50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and all architectural services rendered hereunder shall be governed by and construed in accordance with the laws of the Federal Republic of Germany, with specific application of the Berlin state building regulations. Any disputes shall be subject to the exclusive jurisdiction of the Landgericht Berlin, Germany Berlin.</w:t>
      </w:r>
    </w:p>
    <w:p>
      <w:pPr>
        <w:numPr>
          <w:ilvl w:val="0"/>
          <w:numId w:val="1001"/>
        </w:numPr>
        <w:pStyle w:val="Compact"/>
      </w:pPr>
      <w:r>
        <w:rPr>
          <w:bCs/>
          <w:b/>
        </w:rPr>
        <w:t xml:space="preserve">Payment Terms:</w:t>
      </w:r>
      <w:r>
        <w:t xml:space="preserve"> </w:t>
      </w:r>
      <w:r>
        <w:t xml:space="preserve">Invoices issued by the Architect shall be payable within 30 calendar days of receipt via SEPA bank transfer to the account specified by Studio Weber &amp; Partner Architekten BDA. Late payments shall accrue interest at the statutory rate of 8 percentage points above the ECB base rate pursuant to § 288 BGB.</w:t>
      </w:r>
    </w:p>
    <w:p>
      <w:pPr>
        <w:numPr>
          <w:ilvl w:val="0"/>
          <w:numId w:val="1001"/>
        </w:numPr>
        <w:pStyle w:val="Compact"/>
      </w:pPr>
      <w:r>
        <w:rPr>
          <w:bCs/>
          <w:b/>
        </w:rPr>
        <w:t xml:space="preserve">Intellectual Property:</w:t>
      </w:r>
      <w:r>
        <w:t xml:space="preserve"> </w:t>
      </w:r>
      <w:r>
        <w:t xml:space="preserve">All architectural drawings, plans, 3D models, and design documents produced by the Architect for this project in Germany Berlin shall remain the exclusive property of Berlin Urban Development GmbH upon full payment. The Architect retains the right to display the completed project in professional portfolios subject to prior written consent.</w:t>
      </w:r>
    </w:p>
    <w:p>
      <w:pPr>
        <w:numPr>
          <w:ilvl w:val="0"/>
          <w:numId w:val="1001"/>
        </w:numPr>
        <w:pStyle w:val="Compact"/>
      </w:pPr>
      <w:r>
        <w:rPr>
          <w:bCs/>
          <w:b/>
        </w:rPr>
        <w:t xml:space="preserve">Compliance:</w:t>
      </w:r>
      <w:r>
        <w:t xml:space="preserve"> </w:t>
      </w:r>
      <w:r>
        <w:t xml:space="preserve">The Architect warrants full compliance with the HOAI fee structure, the German Building Code (BauGB), the Berlin Building Ordinance (BlnBauO), all applicable DIN and VOB standards, and the EU Accessibility Directive as transposed into German law.</w:t>
      </w:r>
    </w:p>
    <w:p>
      <w:pPr>
        <w:numPr>
          <w:ilvl w:val="0"/>
          <w:numId w:val="1001"/>
        </w:numPr>
        <w:pStyle w:val="Compact"/>
      </w:pPr>
      <w:r>
        <w:rPr>
          <w:bCs/>
          <w:b/>
        </w:rPr>
        <w:t xml:space="preserve">Insurance:</w:t>
      </w:r>
      <w:r>
        <w:t xml:space="preserve"> </w:t>
      </w:r>
      <w:r>
        <w:t xml:space="preserve">The Architect shall maintain professional liability insurance with a minimum coverage of €5,000,000 per claim throughout the duration of the engagement and for a further five (5) years after project completion in Berlin.</w:t>
      </w:r>
    </w:p>
    <w:p>
      <w:pPr>
        <w:numPr>
          <w:ilvl w:val="0"/>
          <w:numId w:val="1001"/>
        </w:numPr>
        <w:pStyle w:val="Compact"/>
      </w:pPr>
      <w:r>
        <w:rPr>
          <w:bCs/>
          <w:b/>
        </w:rPr>
        <w:t xml:space="preserve">Termination:</w:t>
      </w:r>
      <w:r>
        <w:t xml:space="preserve"> </w:t>
      </w:r>
      <w:r>
        <w:t xml:space="preserve">Either party may terminate this Purchase Order with a written notice period of 60 days. In the event of termination, the Architect shall be compensated for all services rendered up to the termination date in accordance with the HOAI.</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site plans, and commercial terms related to this architectural engagement in Germany Berlin. This obligation survives termination for a period of five (5)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Berlin, or pandemics, as defined under § 275 BGB.</w:t>
      </w:r>
    </w:p>
    <w:p>
      <w:pPr>
        <w:pStyle w:val="FirstParagraph"/>
      </w:pPr>
      <w:r>
        <w:t xml:space="preserve">6. PROJECT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Commencement Date:</w:t>
            </w:r>
          </w:p>
        </w:tc>
        <w:tc>
          <w:tcPr/>
          <w:p>
            <w:pPr>
              <w:pStyle w:val="Compact"/>
              <w:jc w:val="left"/>
            </w:pPr>
            <w:r>
              <w:t xml:space="preserve">1 July 2025</w:t>
            </w:r>
          </w:p>
        </w:tc>
      </w:tr>
      <w:tr>
        <w:tc>
          <w:tcPr/>
          <w:p>
            <w:pPr>
              <w:pStyle w:val="Compact"/>
              <w:jc w:val="left"/>
            </w:pPr>
            <w:r>
              <w:t xml:space="preserve">Building Permit Target:</w:t>
            </w:r>
          </w:p>
        </w:tc>
        <w:tc>
          <w:tcPr/>
          <w:p>
            <w:pPr>
              <w:pStyle w:val="Compact"/>
              <w:jc w:val="left"/>
            </w:pPr>
            <w:r>
              <w:t xml:space="preserve">31 October 2025</w:t>
            </w:r>
          </w:p>
        </w:tc>
      </w:tr>
      <w:tr>
        <w:tc>
          <w:tcPr/>
          <w:p>
            <w:pPr>
              <w:pStyle w:val="Compact"/>
              <w:jc w:val="left"/>
            </w:pPr>
            <w:r>
              <w:t xml:space="preserve">Construction Start:</w:t>
            </w:r>
          </w:p>
        </w:tc>
        <w:tc>
          <w:tcPr/>
          <w:p>
            <w:pPr>
              <w:pStyle w:val="Compact"/>
              <w:jc w:val="left"/>
            </w:pPr>
            <w:r>
              <w:t xml:space="preserve">1 January 2026</w:t>
            </w:r>
          </w:p>
        </w:tc>
      </w:tr>
      <w:tr>
        <w:tc>
          <w:tcPr/>
          <w:p>
            <w:pPr>
              <w:pStyle w:val="Compact"/>
              <w:jc w:val="left"/>
            </w:pPr>
            <w:r>
              <w:t xml:space="preserve">Expected Completion:</w:t>
            </w:r>
          </w:p>
        </w:tc>
        <w:tc>
          <w:tcPr/>
          <w:p>
            <w:pPr>
              <w:pStyle w:val="Compact"/>
              <w:jc w:val="left"/>
            </w:pPr>
            <w:r>
              <w:t xml:space="preserve">30 June 2027</w:t>
            </w:r>
          </w:p>
        </w:tc>
      </w:tr>
    </w:tbl>
    <w:p>
      <w:pPr>
        <w:pStyle w:val="BodyText"/>
      </w:pPr>
      <w:r>
        <w:rPr>
          <w:bCs/>
          <w:b/>
        </w:rPr>
        <w:t xml:space="preserve">For and on behalf of Berlin Urban Development GmbH</w:t>
      </w:r>
    </w:p>
    <w:p>
      <w:pPr>
        <w:pStyle w:val="BodyText"/>
      </w:pPr>
      <w:r>
        <w:t xml:space="preserve">Name: Dr. Markus Hoffmann</w:t>
      </w:r>
    </w:p>
    <w:p>
      <w:pPr>
        <w:pStyle w:val="BodyText"/>
      </w:pPr>
      <w:r>
        <w:t xml:space="preserve">Title: Head of Procurement</w:t>
      </w:r>
    </w:p>
    <w:p>
      <w:pPr>
        <w:pStyle w:val="BodyText"/>
      </w:pPr>
      <w:r>
        <w:t xml:space="preserve">Date: ______________________</w:t>
      </w:r>
    </w:p>
    <w:p>
      <w:pPr>
        <w:pStyle w:val="BodyText"/>
      </w:pPr>
      <w:r>
        <w:t xml:space="preserve">Signature &amp; Company Seal</w:t>
      </w:r>
    </w:p>
    <w:p>
      <w:pPr>
        <w:pStyle w:val="BodyText"/>
      </w:pPr>
      <w:r>
        <w:rPr>
          <w:bCs/>
          <w:b/>
        </w:rPr>
        <w:t xml:space="preserve">For and on behalf of Studio Weber &amp; Partner Architekten BDA</w:t>
      </w:r>
    </w:p>
    <w:p>
      <w:pPr>
        <w:pStyle w:val="BodyText"/>
      </w:pPr>
      <w:r>
        <w:t xml:space="preserve">Name: Prof. Dr. Ingrid Weber</w:t>
      </w:r>
    </w:p>
    <w:p>
      <w:pPr>
        <w:pStyle w:val="BodyText"/>
      </w:pPr>
      <w:r>
        <w:t xml:space="preserve">Title: Lead Architect, BDA</w:t>
      </w:r>
    </w:p>
    <w:p>
      <w:pPr>
        <w:pStyle w:val="BodyText"/>
      </w:pPr>
      <w:r>
        <w:t xml:space="preserve">Date: ______________________</w:t>
      </w:r>
    </w:p>
    <w:p>
      <w:pPr>
        <w:pStyle w:val="BodyText"/>
      </w:pPr>
      <w:r>
        <w:t xml:space="preserve">Signature &amp; Company Seal</w:t>
      </w:r>
    </w:p>
    <w:p>
      <w:pPr>
        <w:pStyle w:val="BodyText"/>
      </w:pPr>
      <w:r>
        <w:t xml:space="preserve">Purchase Order PO-BER-2025-00472 — Architectural Services — Germany Berlin</w:t>
      </w:r>
    </w:p>
    <w:p>
      <w:pPr>
        <w:pStyle w:val="BodyText"/>
      </w:pPr>
      <w:r>
        <w:t xml:space="preserve">This document constitutes a binding commercial offer under § 145 BGB. Acceptance is confirmed by countersignature.</w:t>
      </w:r>
    </w:p>
    <w:p>
      <w:pPr>
        <w:pStyle w:val="BodyText"/>
      </w:pPr>
      <w:r>
        <w:t xml:space="preserve">© 2025 Berlin Urban Development GmbH. All rights reserved. Printed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Germany Berlin</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