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rPr>
          <w:bCs/>
          <w:b/>
        </w:rPr>
        <w:t xml:space="preserve">Frankfurt Main Development GmbH</w:t>
      </w:r>
    </w:p>
    <w:p>
      <w:pPr>
        <w:pStyle w:val="BodyText"/>
      </w:pPr>
      <w:r>
        <w:t xml:space="preserve">Bockenheimer Landstraße 12, 60323 Frankfurt am Main, Germany</w:t>
      </w:r>
    </w:p>
    <w:p>
      <w:pPr>
        <w:pStyle w:val="BodyText"/>
      </w:pPr>
      <w:r>
        <w:t xml:space="preserve">USt-IdNr.: DE 294 871 563 | HRB 87 432 Frankfurt am Main</w:t>
      </w:r>
    </w:p>
    <w:p>
      <w:pPr>
        <w:pStyle w:val="BodyText"/>
      </w:pPr>
      <w:r>
        <w:t xml:space="preserve">Phone: +49 69 4455 8821 | Email: procurement@frankfurtmain-dev.de</w:t>
      </w:r>
    </w:p>
    <w:bookmarkEnd w:id="20"/>
    <w:p>
      <w:pPr>
        <w:pStyle w:val="BodyText"/>
      </w:pPr>
      <w:r>
        <w:rPr>
          <w:bCs/>
          <w:b/>
        </w:rPr>
        <w:t xml:space="preserve">Purchase Order No.:</w:t>
      </w:r>
      <w:r>
        <w:t xml:space="preserve"> </w:t>
      </w:r>
      <w:r>
        <w:t xml:space="preserve">PO-FRM-2025-0487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Project Reference:</w:t>
      </w:r>
      <w:r>
        <w:t xml:space="preserve"> </w:t>
      </w:r>
      <w:r>
        <w:t xml:space="preserve">FRM-ARCH-2025-012</w:t>
      </w:r>
      <w:r>
        <w:br/>
      </w:r>
      <w:r>
        <w:rPr>
          <w:bCs/>
          <w:b/>
        </w:rPr>
        <w:t xml:space="preserve">Location:</w:t>
      </w:r>
      <w:r>
        <w:t xml:space="preserve"> </w:t>
      </w:r>
      <w:r>
        <w:t xml:space="preserve">Germany Frankfurt</w:t>
      </w:r>
      <w:r>
        <w:br/>
      </w:r>
      <w:r>
        <w:rPr>
          <w:bCs/>
          <w:b/>
        </w:rPr>
        <w:t xml:space="preserve">Department:</w:t>
      </w:r>
      <w:r>
        <w:t xml:space="preserve"> </w:t>
      </w:r>
      <w:r>
        <w:t xml:space="preserve">Construction &amp; Planning</w:t>
      </w:r>
    </w:p>
    <w:bookmarkStart w:id="21" w:name="vendor-architect-details"/>
    <w:p>
      <w:pPr>
        <w:pStyle w:val="Heading2"/>
      </w:pPr>
      <w:r>
        <w:t xml:space="preserve">Vendor / Architect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Architect Firm</w:t>
            </w:r>
          </w:p>
        </w:tc>
        <w:tc>
          <w:tcPr/>
          <w:p>
            <w:pPr>
              <w:pStyle w:val="Compact"/>
              <w:jc w:val="left"/>
            </w:pPr>
            <w:r>
              <w:t xml:space="preserve">Studio Meridian Architekten GmbH</w:t>
            </w:r>
          </w:p>
        </w:tc>
      </w:tr>
      <w:tr>
        <w:tc>
          <w:tcPr/>
          <w:p>
            <w:pPr>
              <w:pStyle w:val="Compact"/>
              <w:jc w:val="left"/>
            </w:pPr>
            <w:r>
              <w:t xml:space="preserve">Lead Architect</w:t>
            </w:r>
          </w:p>
        </w:tc>
        <w:tc>
          <w:tcPr/>
          <w:p>
            <w:pPr>
              <w:pStyle w:val="Compact"/>
              <w:jc w:val="left"/>
            </w:pPr>
            <w:r>
              <w:t xml:space="preserve">Dipl.-Ing. (FH) Dr. Katharina Vogel, Registered Architect (Architekt) – HBA Hessen No. 4421</w:t>
            </w:r>
          </w:p>
        </w:tc>
      </w:tr>
      <w:tr>
        <w:tc>
          <w:tcPr/>
          <w:p>
            <w:pPr>
              <w:pStyle w:val="Compact"/>
              <w:jc w:val="left"/>
            </w:pPr>
            <w:r>
              <w:t xml:space="preserve">Address</w:t>
            </w:r>
          </w:p>
        </w:tc>
        <w:tc>
          <w:tcPr/>
          <w:p>
            <w:pPr>
              <w:pStyle w:val="Compact"/>
              <w:jc w:val="left"/>
            </w:pPr>
            <w:r>
              <w:t xml:space="preserve">Zeil 48, 60313 Frankfurt am Main, Germany Frankfurt</w:t>
            </w:r>
          </w:p>
        </w:tc>
      </w:tr>
      <w:tr>
        <w:tc>
          <w:tcPr/>
          <w:p>
            <w:pPr>
              <w:pStyle w:val="Compact"/>
              <w:jc w:val="left"/>
            </w:pPr>
            <w:r>
              <w:t xml:space="preserve">Contact</w:t>
            </w:r>
          </w:p>
        </w:tc>
        <w:tc>
          <w:tcPr/>
          <w:p>
            <w:pPr>
              <w:pStyle w:val="Compact"/>
              <w:jc w:val="left"/>
            </w:pPr>
            <w:r>
              <w:t xml:space="preserve">Phone: +49 69 2233 7788 | Email: k.vogel@studiomeridian-arch.de</w:t>
            </w:r>
          </w:p>
        </w:tc>
      </w:tr>
      <w:tr>
        <w:tc>
          <w:tcPr/>
          <w:p>
            <w:pPr>
              <w:pStyle w:val="Compact"/>
              <w:jc w:val="left"/>
            </w:pPr>
            <w:r>
              <w:t xml:space="preserve">VAT Number</w:t>
            </w:r>
          </w:p>
        </w:tc>
        <w:tc>
          <w:tcPr/>
          <w:p>
            <w:pPr>
              <w:pStyle w:val="Compact"/>
              <w:jc w:val="left"/>
            </w:pPr>
            <w:r>
              <w:t xml:space="preserve">USt-IdNr.: DE 312 558 907</w:t>
            </w:r>
          </w:p>
        </w:tc>
      </w:tr>
      <w:tr>
        <w:tc>
          <w:tcPr/>
          <w:p>
            <w:pPr>
              <w:pStyle w:val="Compact"/>
              <w:jc w:val="left"/>
            </w:pPr>
            <w:r>
              <w:t xml:space="preserve">Bank / IBAN</w:t>
            </w:r>
          </w:p>
        </w:tc>
        <w:tc>
          <w:tcPr/>
          <w:p>
            <w:pPr>
              <w:pStyle w:val="Compact"/>
              <w:jc w:val="left"/>
            </w:pPr>
            <w:r>
              <w:t xml:space="preserve">Commerzbank AG Frankfurt | IBAN: DE44 5004 0000 0487 0000 00 | BIC: COBADEFFXXX</w:t>
            </w:r>
          </w:p>
        </w:tc>
      </w:tr>
    </w:tbl>
    <w:bookmarkEnd w:id="21"/>
    <w:bookmarkStart w:id="22" w:name="X3f85916d25129b83ac117200b8615e4c37cfe46"/>
    <w:p>
      <w:pPr>
        <w:pStyle w:val="Heading2"/>
      </w:pPr>
      <w:r>
        <w:t xml:space="preserve">Description of Purchase Order – Architect Services</w:t>
      </w:r>
    </w:p>
    <w:p>
      <w:pPr>
        <w:pStyle w:val="FirstParagraph"/>
      </w:pPr>
      <w:r>
        <w:t xml:space="preserve">This Purchase Order is issued by Frankfurt Main Development GmbH for the engagement of a licensed Architect to deliver comprehensive architectural design, planning, and project management services for the construction of a mixed-use commercial and residential complex located in the Europaviertel district of Germany Frankfurt. The Architect shall be responsible for all phases of design from conceptual planning through to construction documentation, in full compliance with the German Building Code (Bauordnung – HBO), the Frankfurt City Planning Regulations (Frankfurter Bauplanungsordnung), and all applicable federal and state regulations governing architectural practice in Germany Frankfurt.</w:t>
      </w:r>
    </w:p>
    <w:bookmarkEnd w:id="22"/>
    <w:bookmarkStart w:id="23" w:name="line-items-scope-of-architect-services"/>
    <w:p>
      <w:pPr>
        <w:pStyle w:val="Heading2"/>
      </w:pPr>
      <w:r>
        <w:t xml:space="preserve">Line Items – Scope of Architect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Architect Service</w:t>
            </w:r>
          </w:p>
        </w:tc>
        <w:tc>
          <w:tcPr/>
          <w:p>
            <w:pPr>
              <w:pStyle w:val="Compact"/>
              <w:jc w:val="left"/>
            </w:pPr>
            <w:r>
              <w:t xml:space="preserve">Phase</w:t>
            </w:r>
          </w:p>
        </w:tc>
        <w:tc>
          <w:tcPr/>
          <w:p>
            <w:pPr>
              <w:pStyle w:val="Compact"/>
              <w:jc w:val="left"/>
            </w:pPr>
            <w:r>
              <w:t xml:space="preserve">Duration</w:t>
            </w:r>
          </w:p>
        </w:tc>
        <w:tc>
          <w:tcPr/>
          <w:p>
            <w:pPr>
              <w:pStyle w:val="Compact"/>
              <w:jc w:val="left"/>
            </w:pPr>
            <w:r>
              <w:t xml:space="preserve">Amount (EUR)</w:t>
            </w:r>
          </w:p>
        </w:tc>
        <w:tc>
          <w:tcPr/>
          <w:p>
            <w:pPr>
              <w:pStyle w:val="Compact"/>
              <w:jc w:val="left"/>
            </w:pPr>
            <w:r>
              <w:t xml:space="preserve">VAT (19%)</w:t>
            </w:r>
          </w:p>
        </w:tc>
      </w:tr>
      <w:tr>
        <w:tc>
          <w:tcPr/>
          <w:p>
            <w:pPr>
              <w:pStyle w:val="Compact"/>
              <w:jc w:val="left"/>
            </w:pPr>
            <w:r>
              <w:t xml:space="preserve">1</w:t>
            </w:r>
          </w:p>
        </w:tc>
        <w:tc>
          <w:tcPr/>
          <w:p>
            <w:pPr>
              <w:pStyle w:val="Compact"/>
              <w:jc w:val="left"/>
            </w:pPr>
            <w:r>
              <w:t xml:space="preserve">Conceptual Architect Design &amp; Feasibility Study – Initial site analysis, massing studies, and preliminary architectural concept for the 12-storey mixed-use development in Germany Frankfurt</w:t>
            </w:r>
          </w:p>
        </w:tc>
        <w:tc>
          <w:tcPr/>
          <w:p>
            <w:pPr>
              <w:pStyle w:val="Compact"/>
              <w:jc w:val="left"/>
            </w:pPr>
            <w:r>
              <w:t xml:space="preserve">LP 01–02</w:t>
            </w:r>
          </w:p>
        </w:tc>
        <w:tc>
          <w:tcPr/>
          <w:p>
            <w:pPr>
              <w:pStyle w:val="Compact"/>
              <w:jc w:val="left"/>
            </w:pPr>
            <w:r>
              <w:t xml:space="preserve">8 weeks</w:t>
            </w:r>
          </w:p>
        </w:tc>
        <w:tc>
          <w:tcPr/>
          <w:p>
            <w:pPr>
              <w:pStyle w:val="Compact"/>
              <w:jc w:val="left"/>
            </w:pPr>
            <w:r>
              <w:t xml:space="preserve">€ 42,000.00</w:t>
            </w:r>
          </w:p>
        </w:tc>
        <w:tc>
          <w:tcPr/>
          <w:p>
            <w:pPr>
              <w:pStyle w:val="Compact"/>
              <w:jc w:val="left"/>
            </w:pPr>
            <w:r>
              <w:t xml:space="preserve">€ 7,980.00</w:t>
            </w:r>
          </w:p>
        </w:tc>
      </w:tr>
      <w:tr>
        <w:tc>
          <w:tcPr/>
          <w:p>
            <w:pPr>
              <w:pStyle w:val="Compact"/>
              <w:jc w:val="left"/>
            </w:pPr>
            <w:r>
              <w:t xml:space="preserve">2</w:t>
            </w:r>
          </w:p>
        </w:tc>
        <w:tc>
          <w:tcPr/>
          <w:p>
            <w:pPr>
              <w:pStyle w:val="Compact"/>
              <w:jc w:val="left"/>
            </w:pPr>
            <w:r>
              <w:t xml:space="preserve">Schematic Design Development – Detailed architectural drawings, material specifications, and structural coordination for the Germany Frankfurt project</w:t>
            </w:r>
          </w:p>
        </w:tc>
        <w:tc>
          <w:tcPr/>
          <w:p>
            <w:pPr>
              <w:pStyle w:val="Compact"/>
              <w:jc w:val="left"/>
            </w:pPr>
            <w:r>
              <w:t xml:space="preserve">LP 03</w:t>
            </w:r>
          </w:p>
        </w:tc>
        <w:tc>
          <w:tcPr/>
          <w:p>
            <w:pPr>
              <w:pStyle w:val="Compact"/>
              <w:jc w:val="left"/>
            </w:pPr>
            <w:r>
              <w:t xml:space="preserve">10 weeks</w:t>
            </w:r>
          </w:p>
        </w:tc>
        <w:tc>
          <w:tcPr/>
          <w:p>
            <w:pPr>
              <w:pStyle w:val="Compact"/>
              <w:jc w:val="left"/>
            </w:pPr>
            <w:r>
              <w:t xml:space="preserve">€ 68,500.00</w:t>
            </w:r>
          </w:p>
        </w:tc>
        <w:tc>
          <w:tcPr/>
          <w:p>
            <w:pPr>
              <w:pStyle w:val="Compact"/>
              <w:jc w:val="left"/>
            </w:pPr>
            <w:r>
              <w:t xml:space="preserve">€ 13,015.00</w:t>
            </w:r>
          </w:p>
        </w:tc>
      </w:tr>
      <w:tr>
        <w:tc>
          <w:tcPr/>
          <w:p>
            <w:pPr>
              <w:pStyle w:val="Compact"/>
              <w:jc w:val="left"/>
            </w:pPr>
            <w:r>
              <w:t xml:space="preserve">3</w:t>
            </w:r>
          </w:p>
        </w:tc>
        <w:tc>
          <w:tcPr/>
          <w:p>
            <w:pPr>
              <w:pStyle w:val="Compact"/>
              <w:jc w:val="left"/>
            </w:pPr>
            <w:r>
              <w:t xml:space="preserve">Design Development &amp; Planning Approval – Preparation of full planning application (Bauantrag) for the Frankfurt am Main Building Authority (Hochbauamt), including all required Architect drawings, energy certificates (Energieausweis), and accessibility compliance documentation</w:t>
            </w:r>
          </w:p>
        </w:tc>
        <w:tc>
          <w:tcPr/>
          <w:p>
            <w:pPr>
              <w:pStyle w:val="Compact"/>
              <w:jc w:val="left"/>
            </w:pPr>
            <w:r>
              <w:t xml:space="preserve">LP 04</w:t>
            </w:r>
          </w:p>
        </w:tc>
        <w:tc>
          <w:tcPr/>
          <w:p>
            <w:pPr>
              <w:pStyle w:val="Compact"/>
              <w:jc w:val="left"/>
            </w:pPr>
            <w:r>
              <w:t xml:space="preserve">12 weeks</w:t>
            </w:r>
          </w:p>
        </w:tc>
        <w:tc>
          <w:tcPr/>
          <w:p>
            <w:pPr>
              <w:pStyle w:val="Compact"/>
              <w:jc w:val="left"/>
            </w:pPr>
            <w:r>
              <w:t xml:space="preserve">€ 85,000.00</w:t>
            </w:r>
          </w:p>
        </w:tc>
        <w:tc>
          <w:tcPr/>
          <w:p>
            <w:pPr>
              <w:pStyle w:val="Compact"/>
              <w:jc w:val="left"/>
            </w:pPr>
            <w:r>
              <w:t xml:space="preserve">€ 16,150.00</w:t>
            </w:r>
          </w:p>
        </w:tc>
      </w:tr>
      <w:tr>
        <w:tc>
          <w:tcPr/>
          <w:p>
            <w:pPr>
              <w:pStyle w:val="Compact"/>
              <w:jc w:val="left"/>
            </w:pPr>
            <w:r>
              <w:t xml:space="preserve">4</w:t>
            </w:r>
          </w:p>
        </w:tc>
        <w:tc>
          <w:tcPr/>
          <w:p>
            <w:pPr>
              <w:pStyle w:val="Compact"/>
              <w:jc w:val="left"/>
            </w:pPr>
            <w:r>
              <w:t xml:space="preserve">Construction Documentation – Complete set of construction drawings, technical specifications, and tender documentation for the Germany Frankfurt development</w:t>
            </w:r>
          </w:p>
        </w:tc>
        <w:tc>
          <w:tcPr/>
          <w:p>
            <w:pPr>
              <w:pStyle w:val="Compact"/>
              <w:jc w:val="left"/>
            </w:pPr>
            <w:r>
              <w:t xml:space="preserve">LP 05</w:t>
            </w:r>
          </w:p>
        </w:tc>
        <w:tc>
          <w:tcPr/>
          <w:p>
            <w:pPr>
              <w:pStyle w:val="Compact"/>
              <w:jc w:val="left"/>
            </w:pPr>
            <w:r>
              <w:t xml:space="preserve">14 weeks</w:t>
            </w:r>
          </w:p>
        </w:tc>
        <w:tc>
          <w:tcPr/>
          <w:p>
            <w:pPr>
              <w:pStyle w:val="Compact"/>
              <w:jc w:val="left"/>
            </w:pPr>
            <w:r>
              <w:t xml:space="preserve">€ 96,000.00</w:t>
            </w:r>
          </w:p>
        </w:tc>
        <w:tc>
          <w:tcPr/>
          <w:p>
            <w:pPr>
              <w:pStyle w:val="Compact"/>
              <w:jc w:val="left"/>
            </w:pPr>
            <w:r>
              <w:t xml:space="preserve">€ 18,240.00</w:t>
            </w:r>
          </w:p>
        </w:tc>
      </w:tr>
      <w:tr>
        <w:tc>
          <w:tcPr/>
          <w:p>
            <w:pPr>
              <w:pStyle w:val="Compact"/>
              <w:jc w:val="left"/>
            </w:pPr>
            <w:r>
              <w:t xml:space="preserve">5</w:t>
            </w:r>
          </w:p>
        </w:tc>
        <w:tc>
          <w:tcPr/>
          <w:p>
            <w:pPr>
              <w:pStyle w:val="Compact"/>
              <w:jc w:val="left"/>
            </w:pPr>
            <w:r>
              <w:t xml:space="preserve">Construction Phase Architect Supervision – Site visits, progress inspections, coordination with contractors, and issuance of Architect certificates for interim payments on the Germany Frankfurt site</w:t>
            </w:r>
          </w:p>
        </w:tc>
        <w:tc>
          <w:tcPr/>
          <w:p>
            <w:pPr>
              <w:pStyle w:val="Compact"/>
              <w:jc w:val="left"/>
            </w:pPr>
            <w:r>
              <w:t xml:space="preserve">LP 06</w:t>
            </w:r>
          </w:p>
        </w:tc>
        <w:tc>
          <w:tcPr/>
          <w:p>
            <w:pPr>
              <w:pStyle w:val="Compact"/>
              <w:jc w:val="left"/>
            </w:pPr>
            <w:r>
              <w:t xml:space="preserve">26 weeks</w:t>
            </w:r>
          </w:p>
        </w:tc>
        <w:tc>
          <w:tcPr/>
          <w:p>
            <w:pPr>
              <w:pStyle w:val="Compact"/>
              <w:jc w:val="left"/>
            </w:pPr>
            <w:r>
              <w:t xml:space="preserve">€ 112,000.00</w:t>
            </w:r>
          </w:p>
        </w:tc>
        <w:tc>
          <w:tcPr/>
          <w:p>
            <w:pPr>
              <w:pStyle w:val="Compact"/>
              <w:jc w:val="left"/>
            </w:pPr>
            <w:r>
              <w:t xml:space="preserve">€ 21,280.00</w:t>
            </w:r>
          </w:p>
        </w:tc>
      </w:tr>
      <w:tr>
        <w:tc>
          <w:tcPr/>
          <w:p>
            <w:pPr>
              <w:pStyle w:val="Compact"/>
              <w:jc w:val="left"/>
            </w:pPr>
            <w:r>
              <w:t xml:space="preserve">6</w:t>
            </w:r>
          </w:p>
        </w:tc>
        <w:tc>
          <w:tcPr/>
          <w:p>
            <w:pPr>
              <w:pStyle w:val="Compact"/>
              <w:jc w:val="left"/>
            </w:pPr>
            <w:r>
              <w:t xml:space="preserve">Project Closeout &amp; As-Built Documentation – Final Architect review, as-built drawings, warranty documentation, and handover package for the completed Germany Frankfurt building</w:t>
            </w:r>
          </w:p>
        </w:tc>
        <w:tc>
          <w:tcPr/>
          <w:p>
            <w:pPr>
              <w:pStyle w:val="Compact"/>
              <w:jc w:val="left"/>
            </w:pPr>
            <w:r>
              <w:t xml:space="preserve">LP 07</w:t>
            </w:r>
          </w:p>
        </w:tc>
        <w:tc>
          <w:tcPr/>
          <w:p>
            <w:pPr>
              <w:pStyle w:val="Compact"/>
              <w:jc w:val="left"/>
            </w:pPr>
            <w:r>
              <w:t xml:space="preserve">6 weeks</w:t>
            </w:r>
          </w:p>
        </w:tc>
        <w:tc>
          <w:tcPr/>
          <w:p>
            <w:pPr>
              <w:pStyle w:val="Compact"/>
              <w:jc w:val="left"/>
            </w:pPr>
            <w:r>
              <w:t xml:space="preserve">€ 28,500.00</w:t>
            </w:r>
          </w:p>
        </w:tc>
        <w:tc>
          <w:tcPr/>
          <w:p>
            <w:pPr>
              <w:pStyle w:val="Compact"/>
              <w:jc w:val="left"/>
            </w:pPr>
            <w:r>
              <w:t xml:space="preserve">€ 5,415.00</w:t>
            </w:r>
          </w:p>
        </w:tc>
      </w:tr>
      <w:tr>
        <w:tc>
          <w:tcPr>
            <w:gridSpan w:val="4"/>
          </w:tcPr>
          <w:p>
            <w:pPr>
              <w:pStyle w:val="Compact"/>
              <w:jc w:val="left"/>
            </w:pPr>
            <w:r>
              <w:t xml:space="preserve">Subtotal</w:t>
            </w:r>
          </w:p>
        </w:tc>
        <w:tc>
          <w:tcPr/>
          <w:p>
            <w:pPr>
              <w:pStyle w:val="Compact"/>
              <w:jc w:val="left"/>
            </w:pPr>
            <w:r>
              <w:t xml:space="preserve">€ 432,000.00</w:t>
            </w:r>
          </w:p>
        </w:tc>
        <w:tc>
          <w:tcPr/>
          <w:p>
            <w:pPr>
              <w:pStyle w:val="Compact"/>
              <w:jc w:val="left"/>
            </w:pPr>
            <w:r>
              <w:t xml:space="preserve">€ 82,080.00</w:t>
            </w:r>
          </w:p>
        </w:tc>
      </w:tr>
      <w:tr>
        <w:tc>
          <w:tcPr>
            <w:gridSpan w:val="4"/>
          </w:tcPr>
          <w:p>
            <w:pPr>
              <w:pStyle w:val="Compact"/>
              <w:jc w:val="left"/>
            </w:pPr>
            <w:r>
              <w:t xml:space="preserve">Total Purchase Order Value (incl. 19% VAT)</w:t>
            </w:r>
          </w:p>
        </w:tc>
        <w:tc>
          <w:tcPr>
            <w:gridSpan w:val="2"/>
          </w:tcPr>
          <w:p>
            <w:pPr>
              <w:pStyle w:val="Compact"/>
              <w:jc w:val="left"/>
            </w:pPr>
            <w:r>
              <w:t xml:space="preserve">€ 514,080.00</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is governed by the laws of the Federal Republic of Germany. Any disputes arising from this Purchase Order shall be subject to the exclusive jurisdiction of the competent courts in Frankfurt am Main, Germany Frankfurt.</w:t>
      </w:r>
    </w:p>
    <w:p>
      <w:pPr>
        <w:numPr>
          <w:ilvl w:val="0"/>
          <w:numId w:val="1001"/>
        </w:numPr>
        <w:pStyle w:val="Compact"/>
      </w:pPr>
      <w:r>
        <w:t xml:space="preserve">The Architect shall hold a valid professional registration with the Hessen Chamber of Architects (Hessische Architektenkammer) and shall maintain professional liability insurance (Berufshaftpflichtversicherung) with a minimum coverage of € 5,000,000 for the entire duration of this Purchase Order.</w:t>
      </w:r>
    </w:p>
    <w:p>
      <w:pPr>
        <w:numPr>
          <w:ilvl w:val="0"/>
          <w:numId w:val="1001"/>
        </w:numPr>
        <w:pStyle w:val="Compact"/>
      </w:pPr>
      <w:r>
        <w:t xml:space="preserve">All Architect deliverables shall be produced in accordance with the German Standard for Architectural Fees (Honorarordnung für Architekten und Ingenieure – HOAI) and shall be submitted in both PDF and CAD (DWG/IFC) formats.</w:t>
      </w:r>
    </w:p>
    <w:p>
      <w:pPr>
        <w:numPr>
          <w:ilvl w:val="0"/>
          <w:numId w:val="1001"/>
        </w:numPr>
        <w:pStyle w:val="Compact"/>
      </w:pPr>
      <w:r>
        <w:t xml:space="preserve">Payment shall be made within 30 days of receipt of a valid invoice from the Architect, via bank transfer to the IBAN specified above. Invoices must reference this Purchase Order number (PO-FRM-2025-0487).</w:t>
      </w:r>
    </w:p>
    <w:p>
      <w:pPr>
        <w:numPr>
          <w:ilvl w:val="0"/>
          <w:numId w:val="1001"/>
        </w:numPr>
        <w:pStyle w:val="Compact"/>
      </w:pPr>
      <w:r>
        <w:t xml:space="preserve">The Architect shall comply with all data protection regulations under the GDPR (DSGVO) and the German Federal Data Protection Act (BDSG) when handling any personal data related to the Germany Frankfurt project.</w:t>
      </w:r>
    </w:p>
    <w:p>
      <w:pPr>
        <w:numPr>
          <w:ilvl w:val="0"/>
          <w:numId w:val="1001"/>
        </w:numPr>
        <w:pStyle w:val="Compact"/>
      </w:pPr>
      <w:r>
        <w:t xml:space="preserve">Intellectual property rights for all Architect designs, drawings, and documentation created under this Purchase Order shall vest in Frankfurt Main Development GmbH upon full payment. The Architect retains the right to display the completed Germany Frankfurt project in professional portfolios.</w:t>
      </w:r>
    </w:p>
    <w:p>
      <w:pPr>
        <w:numPr>
          <w:ilvl w:val="0"/>
          <w:numId w:val="1001"/>
        </w:numPr>
        <w:pStyle w:val="Compact"/>
      </w:pPr>
      <w:r>
        <w:t xml:space="preserve">The Architect shall attend bi-weekly progress meetings at the Frankfurt Main Development GmbH offices in Germany Frankfurt and shall provide written progress reports every two weeks.</w:t>
      </w:r>
    </w:p>
    <w:p>
      <w:pPr>
        <w:numPr>
          <w:ilvl w:val="0"/>
          <w:numId w:val="1001"/>
        </w:numPr>
        <w:pStyle w:val="Compact"/>
      </w:pPr>
      <w:r>
        <w:t xml:space="preserve">Any changes to the scope of Architect services must be documented in a written change order signed by both parties before additional work commences. No verbal modifications to this Purchase Order shall be binding.</w:t>
      </w:r>
    </w:p>
    <w:p>
      <w:pPr>
        <w:numPr>
          <w:ilvl w:val="0"/>
          <w:numId w:val="1001"/>
        </w:numPr>
        <w:pStyle w:val="Compact"/>
      </w:pPr>
      <w:r>
        <w:t xml:space="preserve">The Architect shall ensure full compliance with the Frankfurt Energy Saving Ordinance (Frankfurter Energiesparverordnung) and shall incorporate sustainable design principles in accordance with the Germany Frankfurt Green Building Initiative guidelines.</w:t>
      </w:r>
    </w:p>
    <w:p>
      <w:pPr>
        <w:numPr>
          <w:ilvl w:val="0"/>
          <w:numId w:val="1001"/>
        </w:numPr>
        <w:pStyle w:val="Compact"/>
      </w:pPr>
      <w:r>
        <w:t xml:space="preserve">This Purchase Order may be terminated by either party with 30 days' written notice. In the event of termination, the Architect shall be compensated for all services rendered up to the termination date in accordance with the HOAI fee schedule.</w:t>
      </w:r>
    </w:p>
    <w:bookmarkEnd w:id="24"/>
    <w:bookmarkStart w:id="25" w:name="acceptance-and-authorization"/>
    <w:p>
      <w:pPr>
        <w:pStyle w:val="Heading2"/>
      </w:pPr>
      <w:r>
        <w:t xml:space="preserve">Acceptance and Authorization</w:t>
      </w:r>
    </w:p>
    <w:p>
      <w:pPr>
        <w:pStyle w:val="FirstParagraph"/>
      </w:pPr>
      <w:r>
        <w:t xml:space="preserve">By signing below, both parties acknowledge and agree to the terms, conditions, and scope of work outlined in this Purchase Order for the Architect services to be performed in Germany Frankfurt.</w:t>
      </w:r>
    </w:p>
    <w:p>
      <w:pPr>
        <w:pStyle w:val="BodyText"/>
      </w:pPr>
      <w:r>
        <w:rPr>
          <w:bCs/>
          <w:b/>
        </w:rPr>
        <w:t xml:space="preserve">For Frankfurt Main Development GmbH (Buyer):</w:t>
      </w:r>
    </w:p>
    <w:p>
      <w:pPr>
        <w:pStyle w:val="BodyText"/>
      </w:pPr>
      <w:r>
        <w:rPr>
          <w:bCs/>
          <w:b/>
        </w:rPr>
        <w:t xml:space="preserve">Name:</w:t>
      </w:r>
      <w:r>
        <w:t xml:space="preserve"> </w:t>
      </w:r>
      <w:r>
        <w:t xml:space="preserve">Markus Steinbach, 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Studio Meridian Architekten GmbH (Architect / Vendor):</w:t>
      </w:r>
    </w:p>
    <w:p>
      <w:pPr>
        <w:pStyle w:val="BodyText"/>
      </w:pPr>
      <w:r>
        <w:rPr>
          <w:bCs/>
          <w:b/>
        </w:rPr>
        <w:t xml:space="preserve">Name:</w:t>
      </w:r>
      <w:r>
        <w:t xml:space="preserve"> </w:t>
      </w:r>
      <w:r>
        <w:t xml:space="preserve">Dr. Katharina Vogel, Lead Architect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(PO-FRM-2025-0487) was issued for Architect services in Germany Frankfurt. Document generated on 14 June 2025.</w:t>
      </w:r>
      <w:r>
        <w:br/>
      </w:r>
      <w:r>
        <w:t xml:space="preserve">Frankfurt Main Development GmbH – Bockenheimer Landstraße 12, 60323 Frankfurt am Main, Germany Frankfurt</w:t>
      </w:r>
      <w:r>
        <w:br/>
      </w:r>
      <w:r>
        <w:t xml:space="preserve">This document is confidential and intended solely for the named parties. Unauthorized reproduction or distribution is prohibited under German law.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Germany Frankfurt</dc:title>
  <dc:creator/>
  <dc:language>en</dc:language>
  <cp:keywords/>
  <dcterms:created xsi:type="dcterms:W3CDTF">2026-10-10T08:31:08Z</dcterms:created>
  <dcterms:modified xsi:type="dcterms:W3CDTF">2026-10-10T08:31:08Z</dcterms:modified>
</cp:coreProperties>
</file>

<file path=docProps/custom.xml><?xml version="1.0" encoding="utf-8"?>
<Properties xmlns="http://schemas.openxmlformats.org/officeDocument/2006/custom-properties" xmlns:vt="http://schemas.openxmlformats.org/officeDocument/2006/docPropsVTypes"/>
</file>