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Munich,</w:t>
      </w:r>
      <w:r>
        <w:t xml:space="preserve"> </w:t>
      </w:r>
      <w:r>
        <w:t xml:space="preserve">Germany</w:t>
      </w:r>
    </w:p>
    <w:bookmarkStart w:id="28" w:name="purchase-order"/>
    <w:p>
      <w:pPr>
        <w:pStyle w:val="Heading1"/>
      </w:pPr>
      <w:r>
        <w:t xml:space="preserve">PURCHASE ORDER</w:t>
      </w:r>
    </w:p>
    <w:p>
      <w:pPr>
        <w:pStyle w:val="FirstParagraph"/>
      </w:pPr>
      <w:r>
        <w:t xml:space="preserve">Architectural Design and Consultation Services – Munich, Germany</w:t>
      </w:r>
    </w:p>
    <w:p>
      <w:pPr>
        <w:pStyle w:val="BodyText"/>
      </w:pPr>
      <w:r>
        <w:rPr>
          <w:bCs/>
          <w:b/>
        </w:rPr>
        <w:t xml:space="preserve">Purchase Order No.:</w:t>
      </w:r>
      <w:r>
        <w:t xml:space="preserve"> </w:t>
      </w:r>
      <w:r>
        <w:t xml:space="preserve">PO-2025-MUC-04872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Issued By (Buyer):</w:t>
      </w:r>
      <w:r>
        <w:br/>
      </w:r>
      <w:r>
        <w:t xml:space="preserve">Bavaria Commercial Real Estate GmbH</w:t>
      </w:r>
      <w:r>
        <w:br/>
      </w:r>
      <w:r>
        <w:t xml:space="preserve">Maximilianstraße 42</w:t>
      </w:r>
      <w:r>
        <w:br/>
      </w:r>
      <w:r>
        <w:t xml:space="preserve">80539 Munich, Germany</w:t>
      </w:r>
      <w:r>
        <w:br/>
      </w:r>
      <w:r>
        <w:t xml:space="preserve">VAT ID: DE 318 456 721</w:t>
      </w:r>
      <w:r>
        <w:br/>
      </w:r>
      <w:r>
        <w:t xml:space="preserve">Tel: +49 89 5550 1234</w:t>
      </w:r>
      <w:r>
        <w:br/>
      </w:r>
      <w:r>
        <w:t xml:space="preserve">Email: procurement@bavaria-re.de</w:t>
      </w:r>
    </w:p>
    <w:bookmarkStart w:id="20" w:name="vendor-service-provider-architect"/>
    <w:p>
      <w:pPr>
        <w:pStyle w:val="Heading2"/>
      </w:pPr>
      <w:r>
        <w:t xml:space="preserve">1. Vendor / Service Provider (Architect)</w:t>
      </w:r>
    </w:p>
    <w:p>
      <w:pPr>
        <w:pStyle w:val="FirstParagraph"/>
      </w:pPr>
      <w:r>
        <w:rPr>
          <w:bCs/>
          <w:b/>
        </w:rPr>
        <w:t xml:space="preserve">Architect Firm:</w:t>
      </w:r>
      <w:r>
        <w:t xml:space="preserve"> </w:t>
      </w:r>
      <w:r>
        <w:t xml:space="preserve">Studio Meridian Architekten GmbH</w:t>
      </w:r>
      <w:r>
        <w:br/>
      </w:r>
      <w:r>
        <w:rPr>
          <w:bCs/>
          <w:b/>
        </w:rPr>
        <w:t xml:space="preserve">Lead Architect:</w:t>
      </w:r>
      <w:r>
        <w:t xml:space="preserve"> </w:t>
      </w:r>
      <w:r>
        <w:t xml:space="preserve">Dipl.-Ing. (FH) Katharina Brandt, BDA</w:t>
      </w:r>
      <w:r>
        <w:br/>
      </w:r>
      <w:r>
        <w:rPr>
          <w:bCs/>
          <w:b/>
        </w:rPr>
        <w:t xml:space="preserve">Address:</w:t>
      </w:r>
      <w:r>
        <w:t xml:space="preserve"> </w:t>
      </w:r>
      <w:r>
        <w:t xml:space="preserve">Leopoldstraße 118, 80802 Munich, Germany</w:t>
      </w:r>
      <w:r>
        <w:br/>
      </w:r>
      <w:r>
        <w:rPr>
          <w:bCs/>
          <w:b/>
        </w:rPr>
        <w:t xml:space="preserve">VAT ID:</w:t>
      </w:r>
      <w:r>
        <w:t xml:space="preserve"> </w:t>
      </w:r>
      <w:r>
        <w:t xml:space="preserve">DE 294 781 035</w:t>
      </w:r>
      <w:r>
        <w:br/>
      </w:r>
      <w:r>
        <w:rPr>
          <w:bCs/>
          <w:b/>
        </w:rPr>
        <w:t xml:space="preserve">Chamber Registration:</w:t>
      </w:r>
      <w:r>
        <w:t xml:space="preserve"> </w:t>
      </w:r>
      <w:r>
        <w:t xml:space="preserve">Bayerische Architektenkammer, Reg.-Nr. 14-2023-0887</w:t>
      </w:r>
      <w:r>
        <w:br/>
      </w:r>
      <w:r>
        <w:rPr>
          <w:bCs/>
          <w:b/>
        </w:rPr>
        <w:t xml:space="preserve">Professional Liability Insurance:</w:t>
      </w:r>
      <w:r>
        <w:t xml:space="preserve"> </w:t>
      </w:r>
      <w:r>
        <w:t xml:space="preserve">Munich Re, Policy No. MR-PL-2025-447192 (Coverage: €5,000,000)</w:t>
      </w:r>
      <w:r>
        <w:br/>
      </w:r>
      <w:r>
        <w:rPr>
          <w:bCs/>
          <w:b/>
        </w:rPr>
        <w:t xml:space="preserve">Contact:</w:t>
      </w:r>
      <w:r>
        <w:t xml:space="preserve"> </w:t>
      </w:r>
      <w:r>
        <w:t xml:space="preserve">k.brandt@studiomeridian.de | +49 89 3344 5678</w:t>
      </w:r>
    </w:p>
    <w:bookmarkEnd w:id="20"/>
    <w:bookmarkStart w:id="21" w:name="scope-of-work-architectural-services"/>
    <w:p>
      <w:pPr>
        <w:pStyle w:val="Heading2"/>
      </w:pPr>
      <w:r>
        <w:t xml:space="preserve">2. Scope of Work – Architectural Services</w:t>
      </w:r>
    </w:p>
    <w:p>
      <w:pPr>
        <w:pStyle w:val="FirstParagraph"/>
      </w:pPr>
      <w:r>
        <w:t xml:space="preserve">This Purchase Order is issued by Bavaria Commercial Real Estate GmbH (hereinafter referred to as the "Buyer") to Studio Meridian Architekten GmbH (hereinafter referred to as the "Architect") for the provision of comprehensive architectural design, planning, and consultation services in connection with the development of a mixed-use commercial and residential building located at Sendlinger Tor 7, 80331 Munich, Germany. The Architect shall perform all duties in accordance with the German Building Code (Bauordnung – BauO), the Bavarian Building Code (Bayerische Bauordnung – BayBO), and all applicable municipal regulations of the city of Munich (Landeshauptstadt München).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Phase / Deliverable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Feasibility Study and Preliminary Site Analysis for the Sendlinger Tor development parcel, including topographical survey review, zoning compliance check per Munich's Flächennutzungsplan, and initial massing studies.</w:t>
            </w:r>
          </w:p>
        </w:tc>
        <w:tc>
          <w:tcPr/>
          <w:p>
            <w:pPr>
              <w:pStyle w:val="Compact"/>
              <w:jc w:val="left"/>
            </w:pPr>
            <w:r>
              <w:t xml:space="preserve">Phase 1 – Vorplanung (HOAI §31)</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Preliminary Design (Entwurfsplanung) including three-dimensional conceptual renderings, material palette selection, energy efficiency concept (KfW 55 standard), and preliminary structural coordination with the appointed structural engineer.</w:t>
            </w:r>
          </w:p>
        </w:tc>
        <w:tc>
          <w:tcPr/>
          <w:p>
            <w:pPr>
              <w:pStyle w:val="Compact"/>
              <w:jc w:val="left"/>
            </w:pPr>
            <w:r>
              <w:t xml:space="preserve">Phase 2 – Entwurfsplanung (HOAI §32)</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Planning Design (Planungsplanung) comprising detailed architectural drawings, façade design in compliance with Munich's Denkmalschutz guidelines for the historic Sendlinger Tor district, interior layout plans for 48 residential units and 12 commercial retail spaces, and accessibility compliance per DIN 18040-1.</w:t>
            </w:r>
          </w:p>
        </w:tc>
        <w:tc>
          <w:tcPr/>
          <w:p>
            <w:pPr>
              <w:pStyle w:val="Compact"/>
              <w:jc w:val="left"/>
            </w:pPr>
            <w:r>
              <w:t xml:space="preserve">Phase 3 – Planungsplanung (HOAI §33)</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Execution Design (Ausführungsplanung) including all construction drawings, technical specifications (Leistungsbeschreibung), BIM model delivery in IFC 4.0 format, and coordination with MEP (mechanical, electrical, plumbing) subcontractors.</w:t>
            </w:r>
          </w:p>
        </w:tc>
        <w:tc>
          <w:tcPr/>
          <w:p>
            <w:pPr>
              <w:pStyle w:val="Compact"/>
              <w:jc w:val="left"/>
            </w:pPr>
            <w:r>
              <w:t xml:space="preserve">Phase 4 – Ausführungsplanung (HOAI §34)</w:t>
            </w:r>
          </w:p>
        </w:tc>
        <w:tc>
          <w:tcPr/>
          <w:p>
            <w:pPr>
              <w:pStyle w:val="Compact"/>
              <w:jc w:val="left"/>
            </w:pPr>
            <w:r>
              <w:t xml:space="preserve">1 lot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Tender and Bidding Support (Vergabeplanung) – preparation of tender documents, evaluation of contractor bids, and recommendation report to the Buyer for the general contractor selection process.</w:t>
            </w:r>
          </w:p>
        </w:tc>
        <w:tc>
          <w:tcPr/>
          <w:p>
            <w:pPr>
              <w:pStyle w:val="Compact"/>
              <w:jc w:val="left"/>
            </w:pPr>
            <w:r>
              <w:t xml:space="preserve">Phase 5 – Vergabeplanung (HOAI §35)</w:t>
            </w:r>
          </w:p>
        </w:tc>
        <w:tc>
          <w:tcPr/>
          <w:p>
            <w:pPr>
              <w:pStyle w:val="Compact"/>
              <w:jc w:val="left"/>
            </w:pPr>
            <w:r>
              <w:t xml:space="preserve">1 lot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06</w:t>
            </w:r>
          </w:p>
        </w:tc>
        <w:tc>
          <w:tcPr/>
          <w:p>
            <w:pPr>
              <w:pStyle w:val="Compact"/>
              <w:jc w:val="left"/>
            </w:pPr>
            <w:r>
              <w:t xml:space="preserve">Construction Supervision and Site Coordination (Bauleitung) – weekly site inspections, progress reporting, quality assurance of architectural elements, and coordination meetings with the general contractor and municipal building authority (Bauamt der Landeshauptstadt München).</w:t>
            </w:r>
          </w:p>
        </w:tc>
        <w:tc>
          <w:tcPr/>
          <w:p>
            <w:pPr>
              <w:pStyle w:val="Compact"/>
              <w:jc w:val="left"/>
            </w:pPr>
            <w:r>
              <w:t xml:space="preserve">Phase 6 – Bauleitung (HOAI §37)</w:t>
            </w:r>
          </w:p>
        </w:tc>
        <w:tc>
          <w:tcPr/>
          <w:p>
            <w:pPr>
              <w:pStyle w:val="Compact"/>
              <w:jc w:val="left"/>
            </w:pPr>
            <w:r>
              <w:t xml:space="preserve">18 months</w:t>
            </w:r>
          </w:p>
        </w:tc>
        <w:tc>
          <w:tcPr/>
          <w:p>
            <w:pPr>
              <w:pStyle w:val="Compact"/>
              <w:jc w:val="left"/>
            </w:pPr>
            <w:r>
              <w:t xml:space="preserve">€8,200.00</w:t>
            </w:r>
          </w:p>
        </w:tc>
        <w:tc>
          <w:tcPr/>
          <w:p>
            <w:pPr>
              <w:pStyle w:val="Compact"/>
              <w:jc w:val="left"/>
            </w:pPr>
            <w:r>
              <w:t xml:space="preserve">€147,600.00</w:t>
            </w:r>
          </w:p>
        </w:tc>
      </w:tr>
      <w:tr>
        <w:tc>
          <w:tcPr/>
          <w:p>
            <w:pPr>
              <w:pStyle w:val="Compact"/>
              <w:jc w:val="left"/>
            </w:pPr>
            <w:r>
              <w:t xml:space="preserve">07</w:t>
            </w:r>
          </w:p>
        </w:tc>
        <w:tc>
          <w:tcPr/>
          <w:p>
            <w:pPr>
              <w:pStyle w:val="Compact"/>
              <w:jc w:val="left"/>
            </w:pPr>
            <w:r>
              <w:t xml:space="preserve">As-Built Documentation and Handover – final as-built drawings, operation and maintenance manuals, warranty documentation, and support for the final building inspection (Abnahme) by the Munich building authority.</w:t>
            </w:r>
          </w:p>
        </w:tc>
        <w:tc>
          <w:tcPr/>
          <w:p>
            <w:pPr>
              <w:pStyle w:val="Compact"/>
              <w:jc w:val="left"/>
            </w:pPr>
            <w:r>
              <w:t xml:space="preserve">Phase 7 – Objektüberwachung &amp; Abrechnung (HOAI §38–39)</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(excl. VAT):</w:t>
            </w:r>
          </w:p>
        </w:tc>
        <w:tc>
          <w:tcPr/>
          <w:p>
            <w:pPr>
              <w:pStyle w:val="Compact"/>
              <w:jc w:val="left"/>
            </w:pPr>
            <w:r>
              <w:t xml:space="preserve">€321,600.00</w:t>
            </w:r>
          </w:p>
        </w:tc>
      </w:tr>
      <w:tr>
        <w:tc>
          <w:tcPr>
            <w:gridSpan w:val="5"/>
          </w:tcPr>
          <w:p>
            <w:pPr>
              <w:pStyle w:val="Compact"/>
              <w:jc w:val="right"/>
            </w:pPr>
            <w:r>
              <w:t xml:space="preserve">VAT (19% – German standard rate):</w:t>
            </w:r>
          </w:p>
        </w:tc>
        <w:tc>
          <w:tcPr/>
          <w:p>
            <w:pPr>
              <w:pStyle w:val="Compact"/>
              <w:jc w:val="left"/>
            </w:pPr>
            <w:r>
              <w:t xml:space="preserve">€61,104.00</w:t>
            </w:r>
          </w:p>
        </w:tc>
      </w:tr>
      <w:tr>
        <w:tc>
          <w:tcPr>
            <w:gridSpan w:val="5"/>
          </w:tcPr>
          <w:p>
            <w:pPr>
              <w:pStyle w:val="Compact"/>
              <w:jc w:val="right"/>
            </w:pPr>
            <w:r>
              <w:t xml:space="preserve">TOTAL PURCHASE ORDER VALUE (incl. VAT):</w:t>
            </w:r>
          </w:p>
        </w:tc>
        <w:tc>
          <w:tcPr/>
          <w:p>
            <w:pPr>
              <w:pStyle w:val="Compact"/>
              <w:jc w:val="left"/>
            </w:pPr>
            <w:r>
              <w:t xml:space="preserve">€382,704.00</w:t>
            </w:r>
          </w:p>
        </w:tc>
      </w:tr>
    </w:tbl>
    <w:bookmarkEnd w:id="22"/>
    <w:bookmarkStart w:id="23" w:name="payment-terms"/>
    <w:p>
      <w:pPr>
        <w:pStyle w:val="Heading2"/>
      </w:pPr>
      <w:r>
        <w:t xml:space="preserve">4. Payment Terms</w:t>
      </w:r>
    </w:p>
    <w:p>
      <w:pPr>
        <w:pStyle w:val="FirstParagraph"/>
      </w:pPr>
      <w:r>
        <w:t xml:space="preserve">Payment shall be made in accordance with the HOAI (Honorarordnung für Architekten und Ingenieure) phase-based billing structure. The Architect shall submit an invoice upon completion and written acceptance of each phase deliverable. Payment terms are net 30 days from the date of invoice receipt. A 5% retention shall be withheld from each phase payment until final project completion and successful handover. All payments shall be made via bank transfer to the Architect's designated account: IBAN DE89 3704 0044 0532 0130 00, BIC COBADEFFXXX (Commerzbank, Munich).</w:t>
      </w:r>
    </w:p>
    <w:bookmarkEnd w:id="23"/>
    <w:bookmarkStart w:id="24" w:name="delivery-and-acceptance-criteria"/>
    <w:p>
      <w:pPr>
        <w:pStyle w:val="Heading2"/>
      </w:pPr>
      <w:r>
        <w:t xml:space="preserve">5. Delivery and Acceptance Criteria</w:t>
      </w:r>
    </w:p>
    <w:p>
      <w:pPr>
        <w:pStyle w:val="FirstParagraph"/>
      </w:pPr>
      <w:r>
        <w:t xml:space="preserve">All architectural deliverables shall be submitted in both digital format (PDF, DWG, IFC 4.0, and Revit .rvt) and, where required by the Munich building authority, in printed A1/A0 format. The Buyer shall have a period of fourteen (14) calendar days to review and accept or reject each phase deliverable. Rejection must be accompanied by a written statement of specific deficiencies. The Architect shall rectify any rejected items within ten (10) business days at no additional cost. Final acceptance of the completed project shall be confirmed in writing by the Buyer's project director following the successful Abnahme (formal acceptance) by the Bauamt der Landeshauptstadt München.</w:t>
      </w:r>
    </w:p>
    <w:bookmarkEnd w:id="24"/>
    <w:bookmarkStart w:id="25" w:name="terms-and-conditions"/>
    <w:p>
      <w:pPr>
        <w:pStyle w:val="Heading2"/>
      </w:pPr>
      <w:r>
        <w:t xml:space="preserve">6. Terms and Conditions</w:t>
      </w:r>
    </w:p>
    <w:p>
      <w:pPr>
        <w:pStyle w:val="FirstParagraph"/>
      </w:pPr>
      <w:r>
        <w:t xml:space="preserve">This Purchase Order is governed by the laws of the Federal Republic of Germany. The Architect warrants that all services shall be performed in a professional and workmanlike manner consistent with the standards of the Bayerische Architektenkammer. The Architect shall maintain professional liability insurance with a minimum coverage of €5,000,000 for the entire duration of the project. Any disputes arising from this Purchase Order shall be subject to the exclusive jurisdiction of the competent courts in Munich, Germany. The Architect shall comply with all applicable data protection regulations under the GDPR (DSGVO) and the German Federal Data Protection Act (BDSG). Changes to the scope of work must be agreed upon in writing via a formal change order (Nachtrag) signed by both parties before execution.</w:t>
      </w:r>
    </w:p>
    <w:bookmarkEnd w:id="25"/>
    <w:bookmarkStart w:id="26" w:name="X6d3307a7ddfa67e1099f7e91d019266e60a152a"/>
    <w:p>
      <w:pPr>
        <w:pStyle w:val="Heading2"/>
      </w:pPr>
      <w:r>
        <w:t xml:space="preserve">7. Confidentiality and Intellectual Property</w:t>
      </w:r>
    </w:p>
    <w:p>
      <w:pPr>
        <w:pStyle w:val="FirstParagraph"/>
      </w:pPr>
      <w:r>
        <w:t xml:space="preserve">All architectural drawings, BIM models, design concepts, and proprietary information developed by the Architect under this Purchase Order shall remain the exclusive intellectual property of the Buyer upon full payment. The Architect shall not reuse, reproduce, or disclose any project-specific designs for any other client or purpose without prior written consent. Both parties agree to maintain strict confidentiality of all commercial and technical information exchanged in connection with this Purchase Order for a period of five (5) years following project completion.</w:t>
      </w:r>
    </w:p>
    <w:bookmarkEnd w:id="26"/>
    <w:bookmarkStart w:id="27" w:name="signatures-and-authorization"/>
    <w:p>
      <w:pPr>
        <w:pStyle w:val="Heading2"/>
      </w:pPr>
      <w:r>
        <w:t xml:space="preserve">8. Signatures and Authorization</w:t>
      </w:r>
    </w:p>
    <w:p>
      <w:pPr>
        <w:pStyle w:val="FirstParagraph"/>
      </w:pPr>
      <w:r>
        <w:rPr>
          <w:bCs/>
          <w:b/>
        </w:rPr>
        <w:t xml:space="preserve">For and on behalf of the Buyer:</w:t>
      </w:r>
    </w:p>
    <w:p>
      <w:pPr>
        <w:pStyle w:val="BodyText"/>
      </w:pPr>
      <w:r>
        <w:t xml:space="preserve">Bavaria Commercial Real Estate GmbH</w:t>
      </w:r>
    </w:p>
    <w:p>
      <w:pPr>
        <w:pStyle w:val="BodyText"/>
      </w:pPr>
      <w:r>
        <w:t xml:space="preserve">Dr. Markus Hofmann – Managing Director</w:t>
      </w:r>
      <w:r>
        <w:br/>
      </w:r>
      <w:r>
        <w:t xml:space="preserve">Date: _______________</w:t>
      </w:r>
    </w:p>
    <w:p>
      <w:pPr>
        <w:pStyle w:val="BodyText"/>
      </w:pPr>
      <w:r>
        <w:rPr>
          <w:bCs/>
          <w:b/>
        </w:rPr>
        <w:t xml:space="preserve">For and on behalf of the Architect:</w:t>
      </w:r>
    </w:p>
    <w:p>
      <w:pPr>
        <w:pStyle w:val="BodyText"/>
      </w:pPr>
      <w:r>
        <w:t xml:space="preserve">Studio Meridian Architekten GmbH</w:t>
      </w:r>
    </w:p>
    <w:p>
      <w:pPr>
        <w:pStyle w:val="BodyText"/>
      </w:pPr>
      <w:r>
        <w:t xml:space="preserve">Dipl.-Ing. (FH) Katharina Brandt – Lead Architect</w:t>
      </w:r>
      <w:r>
        <w:br/>
      </w:r>
      <w:r>
        <w:t xml:space="preserve">Date: _______________</w:t>
      </w:r>
    </w:p>
    <w:p>
      <w:pPr>
        <w:pStyle w:val="BodyText"/>
      </w:pPr>
      <w:r>
        <w:t xml:space="preserve">This Purchase Order (PO-2025-MUC-04872) constitutes a binding procurement document issued under the internal procurement policy of Bavaria Commercial Real Estate GmbH. All references to architectural services, professional standards, and regulatory compliance pertain to the jurisdiction of Munich, Germany. This document is valid only when signed and stamped by both parties. In the event of any discrepancy between this Purchase Order and the separate Architectural Services Agreement (Vertrag über Architektenleistungen) dated 01 June 2025, the terms of the Agreement shall prevail. Document reference: PO-2025-MUC-04872 | Page 1 of 1 | Generated: 14.06.2025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Munich, Germany</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file>