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Professional Architect Services – Residential &amp; Commercial Design Project</w:t>
      </w:r>
    </w:p>
    <w:p>
      <w:pPr>
        <w:pStyle w:val="BodyText"/>
      </w:pPr>
      <w:r>
        <w:t xml:space="preserve">Issued in India Bangalore, Karnataka, India</w:t>
      </w:r>
    </w:p>
    <w:p>
      <w:pPr>
        <w:pStyle w:val="BodyText"/>
      </w:pPr>
      <w:r>
        <w:t xml:space="preserve">PO No: BLR-ARC-2025-00472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BLR-ARC-2025-00472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Place of Issue</w:t>
            </w:r>
          </w:p>
        </w:tc>
        <w:tc>
          <w:tcPr/>
          <w:p>
            <w:pPr>
              <w:pStyle w:val="Compact"/>
              <w:jc w:val="left"/>
            </w:pPr>
            <w:r>
              <w:t xml:space="preserve">India Bangalore, Karnataka 560001</w:t>
            </w:r>
          </w:p>
        </w:tc>
      </w:tr>
      <w:tr>
        <w:tc>
          <w:tcPr/>
          <w:p>
            <w:pPr>
              <w:pStyle w:val="Compact"/>
              <w:jc w:val="left"/>
            </w:pPr>
            <w:r>
              <w:t xml:space="preserve">Valid Until</w:t>
            </w:r>
          </w:p>
        </w:tc>
        <w:tc>
          <w:tcPr/>
          <w:p>
            <w:pPr>
              <w:pStyle w:val="Compact"/>
              <w:jc w:val="left"/>
            </w:pPr>
            <w:r>
              <w:t xml:space="preserve">14 July 2025</w:t>
            </w:r>
          </w:p>
        </w:tc>
      </w:tr>
      <w:tr>
        <w:tc>
          <w:tcPr/>
          <w:p>
            <w:pPr>
              <w:pStyle w:val="Compact"/>
              <w:jc w:val="left"/>
            </w:pPr>
            <w:r>
              <w:t xml:space="preserve">Project Reference</w:t>
            </w:r>
          </w:p>
        </w:tc>
        <w:tc>
          <w:tcPr/>
          <w:p>
            <w:pPr>
              <w:pStyle w:val="Compact"/>
              <w:jc w:val="left"/>
            </w:pPr>
            <w:r>
              <w:t xml:space="preserve">BLR-RES-2025-Phase-2</w:t>
            </w:r>
          </w:p>
        </w:tc>
      </w:tr>
    </w:tbl>
    <w:bookmarkEnd w:id="21"/>
    <w:bookmarkStart w:id="22" w:name="purchasing-party-buyer"/>
    <w:p>
      <w:pPr>
        <w:pStyle w:val="Heading2"/>
      </w:pPr>
      <w:r>
        <w:t xml:space="preserve">2.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Deccan Urban Development Pvt. Ltd.</w:t>
            </w:r>
          </w:p>
        </w:tc>
      </w:tr>
      <w:tr>
        <w:tc>
          <w:tcPr/>
          <w:p>
            <w:pPr>
              <w:pStyle w:val="Compact"/>
              <w:jc w:val="left"/>
            </w:pPr>
            <w:r>
              <w:t xml:space="preserve">Registered Address</w:t>
            </w:r>
          </w:p>
        </w:tc>
        <w:tc>
          <w:tcPr/>
          <w:p>
            <w:pPr>
              <w:pStyle w:val="Compact"/>
              <w:jc w:val="left"/>
            </w:pPr>
            <w:r>
              <w:t xml:space="preserve">4th Floor, Prestige Tech Park, Outer Ring Road, India Bangalore, Karnataka 560103</w:t>
            </w:r>
          </w:p>
        </w:tc>
      </w:tr>
      <w:tr>
        <w:tc>
          <w:tcPr/>
          <w:p>
            <w:pPr>
              <w:pStyle w:val="Compact"/>
              <w:jc w:val="left"/>
            </w:pPr>
            <w:r>
              <w:t xml:space="preserve">GSTIN</w:t>
            </w:r>
          </w:p>
        </w:tc>
        <w:tc>
          <w:tcPr/>
          <w:p>
            <w:pPr>
              <w:pStyle w:val="Compact"/>
              <w:jc w:val="left"/>
            </w:pPr>
            <w:r>
              <w:t xml:space="preserve">29AAXCD4821F1Z5</w:t>
            </w:r>
          </w:p>
        </w:tc>
      </w:tr>
      <w:tr>
        <w:tc>
          <w:tcPr/>
          <w:p>
            <w:pPr>
              <w:pStyle w:val="Compact"/>
              <w:jc w:val="left"/>
            </w:pPr>
            <w:r>
              <w:t xml:space="preserve">Contact Person</w:t>
            </w:r>
          </w:p>
        </w:tc>
        <w:tc>
          <w:tcPr/>
          <w:p>
            <w:pPr>
              <w:pStyle w:val="Compact"/>
              <w:jc w:val="left"/>
            </w:pPr>
            <w:r>
              <w:t xml:space="preserve">Mr. Rajesh Kumar, Director – Projects</w:t>
            </w:r>
          </w:p>
        </w:tc>
      </w:tr>
      <w:tr>
        <w:tc>
          <w:tcPr/>
          <w:p>
            <w:pPr>
              <w:pStyle w:val="Compact"/>
              <w:jc w:val="left"/>
            </w:pPr>
            <w:r>
              <w:t xml:space="preserve">Email / Phone</w:t>
            </w:r>
          </w:p>
        </w:tc>
        <w:tc>
          <w:tcPr/>
          <w:p>
            <w:pPr>
              <w:pStyle w:val="Compact"/>
              <w:jc w:val="left"/>
            </w:pPr>
            <w:r>
              <w:t xml:space="preserve">projects@deccanurban.in / +91-80-4112-7788</w:t>
            </w:r>
          </w:p>
        </w:tc>
      </w:tr>
    </w:tbl>
    <w:bookmarkEnd w:id="22"/>
    <w:bookmarkStart w:id="23" w:name="supplier-service-provider-architect"/>
    <w:p>
      <w:pPr>
        <w:pStyle w:val="Heading2"/>
      </w:pPr>
      <w:r>
        <w:t xml:space="preserve">3. Supplier / Service Provider (Architect)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Firm Name</w:t>
            </w:r>
          </w:p>
        </w:tc>
        <w:tc>
          <w:tcPr/>
          <w:p>
            <w:pPr>
              <w:pStyle w:val="Compact"/>
              <w:jc w:val="left"/>
            </w:pPr>
            <w:r>
              <w:t xml:space="preserve">Studio Meridian Architects &amp; Planners</w:t>
            </w:r>
          </w:p>
        </w:tc>
      </w:tr>
      <w:tr>
        <w:tc>
          <w:tcPr/>
          <w:p>
            <w:pPr>
              <w:pStyle w:val="Compact"/>
              <w:jc w:val="left"/>
            </w:pPr>
            <w:r>
              <w:t xml:space="preserve">Lead Architect</w:t>
            </w:r>
          </w:p>
        </w:tc>
        <w:tc>
          <w:tcPr/>
          <w:p>
            <w:pPr>
              <w:pStyle w:val="Compact"/>
              <w:jc w:val="left"/>
            </w:pPr>
            <w:r>
              <w:t xml:space="preserve">Ms. Ananya Deshpande, Principal Architect (COA Reg. No: KA/ARC/2011/03487)</w:t>
            </w:r>
          </w:p>
        </w:tc>
      </w:tr>
      <w:tr>
        <w:tc>
          <w:tcPr/>
          <w:p>
            <w:pPr>
              <w:pStyle w:val="Compact"/>
              <w:jc w:val="left"/>
            </w:pPr>
            <w:r>
              <w:t xml:space="preserve">Office Address</w:t>
            </w:r>
          </w:p>
        </w:tc>
        <w:tc>
          <w:tcPr/>
          <w:p>
            <w:pPr>
              <w:pStyle w:val="Compact"/>
              <w:jc w:val="left"/>
            </w:pPr>
            <w:r>
              <w:t xml:space="preserve">212, 1st Floor, Indiranagar 100 Ft Road, India Bangalore, Karnataka 560038</w:t>
            </w:r>
          </w:p>
        </w:tc>
      </w:tr>
      <w:tr>
        <w:tc>
          <w:tcPr/>
          <w:p>
            <w:pPr>
              <w:pStyle w:val="Compact"/>
              <w:jc w:val="left"/>
            </w:pPr>
            <w:r>
              <w:t xml:space="preserve">GSTIN</w:t>
            </w:r>
          </w:p>
        </w:tc>
        <w:tc>
          <w:tcPr/>
          <w:p>
            <w:pPr>
              <w:pStyle w:val="Compact"/>
              <w:jc w:val="left"/>
            </w:pPr>
            <w:r>
              <w:t xml:space="preserve">29ABFSD6743K1Z8</w:t>
            </w:r>
          </w:p>
        </w:tc>
      </w:tr>
      <w:tr>
        <w:tc>
          <w:tcPr/>
          <w:p>
            <w:pPr>
              <w:pStyle w:val="Compact"/>
              <w:jc w:val="left"/>
            </w:pPr>
            <w:r>
              <w:t xml:space="preserve">Contact Person</w:t>
            </w:r>
          </w:p>
        </w:tc>
        <w:tc>
          <w:tcPr/>
          <w:p>
            <w:pPr>
              <w:pStyle w:val="Compact"/>
              <w:jc w:val="left"/>
            </w:pPr>
            <w:r>
              <w:t xml:space="preserve">Ms. Ananya Deshpande, Principal Architect</w:t>
            </w:r>
          </w:p>
        </w:tc>
      </w:tr>
      <w:tr>
        <w:tc>
          <w:tcPr/>
          <w:p>
            <w:pPr>
              <w:pStyle w:val="Compact"/>
              <w:jc w:val="left"/>
            </w:pPr>
            <w:r>
              <w:t xml:space="preserve">Email / Phone</w:t>
            </w:r>
          </w:p>
        </w:tc>
        <w:tc>
          <w:tcPr/>
          <w:p>
            <w:pPr>
              <w:pStyle w:val="Compact"/>
              <w:jc w:val="left"/>
            </w:pPr>
            <w:r>
              <w:t xml:space="preserve">ananya@studiomeridian.in / +91-80-2521-4455</w:t>
            </w:r>
          </w:p>
        </w:tc>
      </w:tr>
    </w:tbl>
    <w:bookmarkEnd w:id="23"/>
    <w:bookmarkStart w:id="24" w:name="scope-of-architect-services"/>
    <w:p>
      <w:pPr>
        <w:pStyle w:val="Heading2"/>
      </w:pPr>
      <w:r>
        <w:t xml:space="preserve">4. Scope of Architect Services</w:t>
      </w:r>
    </w:p>
    <w:p>
      <w:pPr>
        <w:pStyle w:val="FirstParagraph"/>
      </w:pPr>
      <w:r>
        <w:t xml:space="preserve">This Purchase Order is issued by Deccan Urban Development Pvt. Ltd. to engage the services of Studio Meridian Architects &amp; Planners, a registered Architect firm operating in India Bangalore, for the complete architectural design, planning, and documentation of a mixed-use residential and commercial development project located in Whitefield, India Bangalore. The Architect shall be responsible for all phases of design delivery as enumerated below.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 Deliverable</w:t>
            </w:r>
          </w:p>
        </w:tc>
        <w:tc>
          <w:tcPr/>
          <w:p>
            <w:pPr>
              <w:pStyle w:val="Compact"/>
              <w:jc w:val="left"/>
            </w:pPr>
            <w:r>
              <w:t xml:space="preserve">Quantity / Area</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Concept Design &amp; Feasibility Study – Architectural massing, site analysis, and zoning compliance for the project plot in India Bangalore</w:t>
            </w:r>
          </w:p>
        </w:tc>
        <w:tc>
          <w:tcPr/>
          <w:p>
            <w:pPr>
              <w:pStyle w:val="Compact"/>
              <w:jc w:val="left"/>
            </w:pPr>
            <w:r>
              <w:t xml:space="preserve">1 Project (42,000 sq.ft. GFA)</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Schematic Design Development – Floor plans, elevations, sections, and 3D visualisations prepared by the Architect</w:t>
            </w:r>
          </w:p>
        </w:tc>
        <w:tc>
          <w:tcPr/>
          <w:p>
            <w:pPr>
              <w:pStyle w:val="Compact"/>
              <w:jc w:val="left"/>
            </w:pPr>
            <w:r>
              <w:t xml:space="preserve">1 Project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Detailed Design &amp; Working Drawings – Complete set of architectural drawings, specifications, and BOQ for statutory approvals in India Bangalore</w:t>
            </w:r>
          </w:p>
        </w:tc>
        <w:tc>
          <w:tcPr/>
          <w:p>
            <w:pPr>
              <w:pStyle w:val="Compact"/>
              <w:jc w:val="left"/>
            </w:pPr>
            <w:r>
              <w:t xml:space="preserve">1 Project</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4</w:t>
            </w:r>
          </w:p>
        </w:tc>
        <w:tc>
          <w:tcPr/>
          <w:p>
            <w:pPr>
              <w:pStyle w:val="Compact"/>
              <w:jc w:val="left"/>
            </w:pPr>
            <w:r>
              <w:t xml:space="preserve">Statutory Approvals &amp; Liaison – Filing and follow-up with BBMP, BDA, and Karnataka State Building Code authorities in India Bangalore</w:t>
            </w:r>
          </w:p>
        </w:tc>
        <w:tc>
          <w:tcPr/>
          <w:p>
            <w:pPr>
              <w:pStyle w:val="Compact"/>
              <w:jc w:val="left"/>
            </w:pPr>
            <w:r>
              <w:t xml:space="preserve">1 Project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5</w:t>
            </w:r>
          </w:p>
        </w:tc>
        <w:tc>
          <w:tcPr/>
          <w:p>
            <w:pPr>
              <w:pStyle w:val="Compact"/>
              <w:jc w:val="left"/>
            </w:pPr>
            <w:r>
              <w:t xml:space="preserve">Construction Supervision &amp; Site Visits – Architect to conduct bi-weekly site inspections and issue RFIs during construction phase</w:t>
            </w:r>
          </w:p>
        </w:tc>
        <w:tc>
          <w:tcPr/>
          <w:p>
            <w:pPr>
              <w:pStyle w:val="Compact"/>
              <w:jc w:val="left"/>
            </w:pPr>
            <w:r>
              <w:t xml:space="preserve">24 Visits (18 months)</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6</w:t>
            </w:r>
          </w:p>
        </w:tc>
        <w:tc>
          <w:tcPr/>
          <w:p>
            <w:pPr>
              <w:pStyle w:val="Compact"/>
              <w:jc w:val="left"/>
            </w:pPr>
            <w:r>
              <w:t xml:space="preserve">Interior Design Coordination – Architect to coordinate with interior consultants for common areas and amenity spaces</w:t>
            </w:r>
          </w:p>
        </w:tc>
        <w:tc>
          <w:tcPr/>
          <w:p>
            <w:pPr>
              <w:pStyle w:val="Compact"/>
              <w:jc w:val="left"/>
            </w:pPr>
            <w:r>
              <w:t xml:space="preserve">1 Project</w:t>
            </w:r>
          </w:p>
        </w:tc>
        <w:tc>
          <w:tcPr/>
          <w:p>
            <w:pPr>
              <w:pStyle w:val="Compact"/>
              <w:jc w:val="left"/>
            </w:pPr>
            <w:r>
              <w:t xml:space="preserve">1,90,000</w:t>
            </w:r>
          </w:p>
        </w:tc>
        <w:tc>
          <w:tcPr/>
          <w:p>
            <w:pPr>
              <w:pStyle w:val="Compact"/>
              <w:jc w:val="left"/>
            </w:pPr>
            <w:r>
              <w:t xml:space="preserve">1,90,000</w:t>
            </w:r>
          </w:p>
        </w:tc>
      </w:tr>
      <w:tr>
        <w:tc>
          <w:tcPr/>
          <w:p>
            <w:pPr>
              <w:pStyle w:val="Compact"/>
              <w:jc w:val="left"/>
            </w:pPr>
            <w:r>
              <w:t xml:space="preserve">7</w:t>
            </w:r>
          </w:p>
        </w:tc>
        <w:tc>
          <w:tcPr/>
          <w:p>
            <w:pPr>
              <w:pStyle w:val="Compact"/>
              <w:jc w:val="left"/>
            </w:pPr>
            <w:r>
              <w:t xml:space="preserve">As-Built Documentation &amp; Handover – Final architectural as-built drawings and O&amp;M manuals</w:t>
            </w:r>
          </w:p>
        </w:tc>
        <w:tc>
          <w:tcPr/>
          <w:p>
            <w:pPr>
              <w:pStyle w:val="Compact"/>
              <w:jc w:val="left"/>
            </w:pPr>
            <w:r>
              <w:t xml:space="preserve">1 Project</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left"/>
            </w:pPr>
            <w:r>
              <w:t xml:space="preserve">Subtotal (INR)</w:t>
            </w:r>
          </w:p>
        </w:tc>
        <w:tc>
          <w:tcPr/>
          <w:p>
            <w:pPr>
              <w:pStyle w:val="Compact"/>
              <w:jc w:val="left"/>
            </w:pPr>
            <w:r>
              <w:t xml:space="preserve">18,80,000</w:t>
            </w:r>
          </w:p>
        </w:tc>
      </w:tr>
      <w:tr>
        <w:tc>
          <w:tcPr>
            <w:gridSpan w:val="4"/>
          </w:tcPr>
          <w:p>
            <w:pPr>
              <w:pStyle w:val="Compact"/>
              <w:jc w:val="left"/>
            </w:pPr>
            <w:r>
              <w:t xml:space="preserve">GST @ 18% (INR)</w:t>
            </w:r>
          </w:p>
        </w:tc>
        <w:tc>
          <w:tcPr/>
          <w:p>
            <w:pPr>
              <w:pStyle w:val="Compact"/>
              <w:jc w:val="left"/>
            </w:pPr>
            <w:r>
              <w:t xml:space="preserve">3,38,400</w:t>
            </w:r>
          </w:p>
        </w:tc>
      </w:tr>
      <w:tr>
        <w:tc>
          <w:tcPr>
            <w:gridSpan w:val="4"/>
          </w:tcPr>
          <w:p>
            <w:pPr>
              <w:pStyle w:val="Compact"/>
              <w:jc w:val="left"/>
            </w:pPr>
            <w:r>
              <w:rPr>
                <w:bCs/>
                <w:b/>
              </w:rPr>
              <w:t xml:space="preserve">Total Purchase Order Value (INR)</w:t>
            </w:r>
          </w:p>
        </w:tc>
        <w:tc>
          <w:tcPr/>
          <w:p>
            <w:pPr>
              <w:pStyle w:val="Compact"/>
              <w:jc w:val="left"/>
            </w:pPr>
            <w:r>
              <w:rPr>
                <w:bCs/>
                <w:b/>
              </w:rPr>
              <w:t xml:space="preserve">22,18,400</w:t>
            </w:r>
          </w:p>
        </w:tc>
      </w:tr>
    </w:tbl>
    <w:bookmarkEnd w:id="24"/>
    <w:bookmarkStart w:id="25" w:name="payment-terms"/>
    <w:p>
      <w:pPr>
        <w:pStyle w:val="Heading2"/>
      </w:pPr>
      <w:r>
        <w:t xml:space="preserve">5. Payment Terms</w:t>
      </w:r>
    </w:p>
    <w:p>
      <w:pPr>
        <w:pStyle w:val="FirstParagraph"/>
      </w:pPr>
      <w:r>
        <w:t xml:space="preserve">Payment against this Purchase Order shall be made in the following milestones, all processed via NEFT/RTGS to the Architect's designated bank account in India Bangalore: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Trigger</w:t>
            </w:r>
          </w:p>
        </w:tc>
        <w:tc>
          <w:tcPr/>
          <w:p>
            <w:pPr>
              <w:pStyle w:val="Compact"/>
              <w:jc w:val="left"/>
            </w:pPr>
            <w:r>
              <w:t xml:space="preserve">Percentage</w:t>
            </w:r>
          </w:p>
        </w:tc>
        <w:tc>
          <w:tcPr/>
          <w:p>
            <w:pPr>
              <w:pStyle w:val="Compact"/>
              <w:jc w:val="left"/>
            </w:pPr>
            <w:r>
              <w:t xml:space="preserve">Amount (INR)</w:t>
            </w:r>
          </w:p>
        </w:tc>
      </w:tr>
      <w:tr>
        <w:tc>
          <w:tcPr/>
          <w:p>
            <w:pPr>
              <w:pStyle w:val="Compact"/>
              <w:jc w:val="left"/>
            </w:pPr>
            <w:r>
              <w:t xml:space="preserve">Advance</w:t>
            </w:r>
          </w:p>
        </w:tc>
        <w:tc>
          <w:tcPr/>
          <w:p>
            <w:pPr>
              <w:pStyle w:val="Compact"/>
              <w:jc w:val="left"/>
            </w:pPr>
            <w:r>
              <w:t xml:space="preserve">Upon signing of this Purchase Order</w:t>
            </w:r>
          </w:p>
        </w:tc>
        <w:tc>
          <w:tcPr/>
          <w:p>
            <w:pPr>
              <w:pStyle w:val="Compact"/>
              <w:jc w:val="left"/>
            </w:pPr>
            <w:r>
              <w:t xml:space="preserve">20%</w:t>
            </w:r>
          </w:p>
        </w:tc>
        <w:tc>
          <w:tcPr/>
          <w:p>
            <w:pPr>
              <w:pStyle w:val="Compact"/>
              <w:jc w:val="left"/>
            </w:pPr>
            <w:r>
              <w:t xml:space="preserve">4,43,680</w:t>
            </w:r>
          </w:p>
        </w:tc>
      </w:tr>
      <w:tr>
        <w:tc>
          <w:tcPr/>
          <w:p>
            <w:pPr>
              <w:pStyle w:val="Compact"/>
              <w:jc w:val="left"/>
            </w:pPr>
            <w:r>
              <w:t xml:space="preserve">Concept Approval</w:t>
            </w:r>
          </w:p>
        </w:tc>
        <w:tc>
          <w:tcPr/>
          <w:p>
            <w:pPr>
              <w:pStyle w:val="Compact"/>
              <w:jc w:val="left"/>
            </w:pPr>
            <w:r>
              <w:t xml:space="preserve">Buyer's written approval of Concept Design</w:t>
            </w:r>
          </w:p>
        </w:tc>
        <w:tc>
          <w:tcPr/>
          <w:p>
            <w:pPr>
              <w:pStyle w:val="Compact"/>
              <w:jc w:val="left"/>
            </w:pPr>
            <w:r>
              <w:t xml:space="preserve">15%</w:t>
            </w:r>
          </w:p>
        </w:tc>
        <w:tc>
          <w:tcPr/>
          <w:p>
            <w:pPr>
              <w:pStyle w:val="Compact"/>
              <w:jc w:val="left"/>
            </w:pPr>
            <w:r>
              <w:t xml:space="preserve">3,32,760</w:t>
            </w:r>
          </w:p>
        </w:tc>
      </w:tr>
      <w:tr>
        <w:tc>
          <w:tcPr/>
          <w:p>
            <w:pPr>
              <w:pStyle w:val="Compact"/>
              <w:jc w:val="left"/>
            </w:pPr>
            <w:r>
              <w:t xml:space="preserve">Schematic Approval</w:t>
            </w:r>
          </w:p>
        </w:tc>
        <w:tc>
          <w:tcPr/>
          <w:p>
            <w:pPr>
              <w:pStyle w:val="Compact"/>
              <w:jc w:val="left"/>
            </w:pPr>
            <w:r>
              <w:t xml:space="preserve">Buyer's written approval of Schematic Design</w:t>
            </w:r>
          </w:p>
        </w:tc>
        <w:tc>
          <w:tcPr/>
          <w:p>
            <w:pPr>
              <w:pStyle w:val="Compact"/>
              <w:jc w:val="left"/>
            </w:pPr>
            <w:r>
              <w:t xml:space="preserve">20%</w:t>
            </w:r>
          </w:p>
        </w:tc>
        <w:tc>
          <w:tcPr/>
          <w:p>
            <w:pPr>
              <w:pStyle w:val="Compact"/>
              <w:jc w:val="left"/>
            </w:pPr>
            <w:r>
              <w:t xml:space="preserve">4,43,680</w:t>
            </w:r>
          </w:p>
        </w:tc>
      </w:tr>
      <w:tr>
        <w:tc>
          <w:tcPr/>
          <w:p>
            <w:pPr>
              <w:pStyle w:val="Compact"/>
              <w:jc w:val="left"/>
            </w:pPr>
            <w:r>
              <w:t xml:space="preserve">Working Drawings Delivered</w:t>
            </w:r>
          </w:p>
        </w:tc>
        <w:tc>
          <w:tcPr/>
          <w:p>
            <w:pPr>
              <w:pStyle w:val="Compact"/>
              <w:jc w:val="left"/>
            </w:pPr>
            <w:r>
              <w:t xml:space="preserve">Submission of complete drawing set</w:t>
            </w:r>
          </w:p>
        </w:tc>
        <w:tc>
          <w:tcPr/>
          <w:p>
            <w:pPr>
              <w:pStyle w:val="Compact"/>
              <w:jc w:val="left"/>
            </w:pPr>
            <w:r>
              <w:t xml:space="preserve">25%</w:t>
            </w:r>
          </w:p>
        </w:tc>
        <w:tc>
          <w:tcPr/>
          <w:p>
            <w:pPr>
              <w:pStyle w:val="Compact"/>
              <w:jc w:val="left"/>
            </w:pPr>
            <w:r>
              <w:t xml:space="preserve">5,54,600</w:t>
            </w:r>
          </w:p>
        </w:tc>
      </w:tr>
      <w:tr>
        <w:tc>
          <w:tcPr/>
          <w:p>
            <w:pPr>
              <w:pStyle w:val="Compact"/>
              <w:jc w:val="left"/>
            </w:pPr>
            <w:r>
              <w:t xml:space="preserve">Statutory Approval Obtained</w:t>
            </w:r>
          </w:p>
        </w:tc>
        <w:tc>
          <w:tcPr/>
          <w:p>
            <w:pPr>
              <w:pStyle w:val="Compact"/>
              <w:jc w:val="left"/>
            </w:pPr>
            <w:r>
              <w:t xml:space="preserve">BBMP/BDA sanction letter received</w:t>
            </w:r>
          </w:p>
        </w:tc>
        <w:tc>
          <w:tcPr/>
          <w:p>
            <w:pPr>
              <w:pStyle w:val="Compact"/>
              <w:jc w:val="left"/>
            </w:pPr>
            <w:r>
              <w:t xml:space="preserve">10%</w:t>
            </w:r>
          </w:p>
        </w:tc>
        <w:tc>
          <w:tcPr/>
          <w:p>
            <w:pPr>
              <w:pStyle w:val="Compact"/>
              <w:jc w:val="left"/>
            </w:pPr>
            <w:r>
              <w:t xml:space="preserve">2,21,840</w:t>
            </w:r>
          </w:p>
        </w:tc>
      </w:tr>
      <w:tr>
        <w:tc>
          <w:tcPr/>
          <w:p>
            <w:pPr>
              <w:pStyle w:val="Compact"/>
              <w:jc w:val="left"/>
            </w:pPr>
            <w:r>
              <w:t xml:space="preserve">Construction Supervision</w:t>
            </w:r>
          </w:p>
        </w:tc>
        <w:tc>
          <w:tcPr/>
          <w:p>
            <w:pPr>
              <w:pStyle w:val="Compact"/>
              <w:jc w:val="left"/>
            </w:pPr>
            <w:r>
              <w:t xml:space="preserve">Monthly pro-rata during 18-month period</w:t>
            </w:r>
          </w:p>
        </w:tc>
        <w:tc>
          <w:tcPr/>
          <w:p>
            <w:pPr>
              <w:pStyle w:val="Compact"/>
              <w:jc w:val="left"/>
            </w:pPr>
            <w:r>
              <w:t xml:space="preserve">7%</w:t>
            </w:r>
          </w:p>
        </w:tc>
        <w:tc>
          <w:tcPr/>
          <w:p>
            <w:pPr>
              <w:pStyle w:val="Compact"/>
              <w:jc w:val="left"/>
            </w:pPr>
            <w:r>
              <w:t xml:space="preserve">1,55,288</w:t>
            </w:r>
          </w:p>
        </w:tc>
      </w:tr>
      <w:tr>
        <w:tc>
          <w:tcPr/>
          <w:p>
            <w:pPr>
              <w:pStyle w:val="Compact"/>
              <w:jc w:val="left"/>
            </w:pPr>
            <w:r>
              <w:t xml:space="preserve">Final Handover</w:t>
            </w:r>
          </w:p>
        </w:tc>
        <w:tc>
          <w:tcPr/>
          <w:p>
            <w:pPr>
              <w:pStyle w:val="Compact"/>
              <w:jc w:val="left"/>
            </w:pPr>
            <w:r>
              <w:t xml:space="preserve">As-built documentation accepted</w:t>
            </w:r>
          </w:p>
        </w:tc>
        <w:tc>
          <w:tcPr/>
          <w:p>
            <w:pPr>
              <w:pStyle w:val="Compact"/>
              <w:jc w:val="left"/>
            </w:pPr>
            <w:r>
              <w:t xml:space="preserve">3%</w:t>
            </w:r>
          </w:p>
        </w:tc>
        <w:tc>
          <w:tcPr/>
          <w:p>
            <w:pPr>
              <w:pStyle w:val="Compact"/>
              <w:jc w:val="left"/>
            </w:pPr>
            <w:r>
              <w:t xml:space="preserve">66,552</w:t>
            </w:r>
          </w:p>
        </w:tc>
      </w:tr>
    </w:tbl>
    <w:bookmarkEnd w:id="25"/>
    <w:bookmarkStart w:id="26" w:name="terms-and-conditions"/>
    <w:p>
      <w:pPr>
        <w:pStyle w:val="Heading2"/>
      </w:pPr>
      <w:r>
        <w:t xml:space="preserve">6. Terms and Conditions</w:t>
      </w:r>
    </w:p>
    <w:p>
      <w:pPr>
        <w:numPr>
          <w:ilvl w:val="0"/>
          <w:numId w:val="1001"/>
        </w:numPr>
        <w:pStyle w:val="Compact"/>
      </w:pPr>
      <w:r>
        <w:t xml:space="preserve">This Purchase Order is governed by the laws of India and shall be interpreted in accordance with the Indian Contract Act, 1872. Any disputes arising from this Purchase Order shall be subject to the exclusive jurisdiction of the competent courts in India Bangalore, Karnataka.</w:t>
      </w:r>
    </w:p>
    <w:p>
      <w:pPr>
        <w:numPr>
          <w:ilvl w:val="0"/>
          <w:numId w:val="1001"/>
        </w:numPr>
        <w:pStyle w:val="Compact"/>
      </w:pPr>
      <w:r>
        <w:t xml:space="preserve">The Architect shall hold a valid registration with the Council of Architecture (COA), Government of India, and a valid Karnataka State Architect registration throughout the duration of this engagement. The Architect shall maintain professional indemnity insurance of not less than INR 50,00,000.</w:t>
      </w:r>
    </w:p>
    <w:p>
      <w:pPr>
        <w:numPr>
          <w:ilvl w:val="0"/>
          <w:numId w:val="1001"/>
        </w:numPr>
        <w:pStyle w:val="Compact"/>
      </w:pPr>
      <w:r>
        <w:t xml:space="preserve">All architectural drawings, designs, and intellectual property created under this Purchase Order shall become the exclusive property of the Buyer upon full and final payment. The Architect shall not reuse, reproduce, or disclose project-specific designs to any third party without prior written consent.</w:t>
      </w:r>
    </w:p>
    <w:p>
      <w:pPr>
        <w:numPr>
          <w:ilvl w:val="0"/>
          <w:numId w:val="1001"/>
        </w:numPr>
        <w:pStyle w:val="Compact"/>
      </w:pPr>
      <w:r>
        <w:t xml:space="preserve">The Architect shall comply with all applicable building by-laws of BBMP, the Karnataka Town and Country Planning Act, 1961, the National Building Code of India, and all environmental clearances mandated for projects in India Bangalore.</w:t>
      </w:r>
    </w:p>
    <w:p>
      <w:pPr>
        <w:numPr>
          <w:ilvl w:val="0"/>
          <w:numId w:val="1001"/>
        </w:numPr>
        <w:pStyle w:val="Compact"/>
      </w:pPr>
      <w:r>
        <w:t xml:space="preserve">Any variation or change order to the scope defined in this Purchase Order must be documented in writing and signed by both parties before execution. The Architect shall submit a revised cost estimate for any such variation within five (5) working days.</w:t>
      </w:r>
    </w:p>
    <w:p>
      <w:pPr>
        <w:numPr>
          <w:ilvl w:val="0"/>
          <w:numId w:val="1001"/>
        </w:numPr>
        <w:pStyle w:val="Compact"/>
      </w:pPr>
      <w:r>
        <w:t xml:space="preserve">The Architect shall provide a minimum of two (2) design revision cycles at each design phase at no additional cost. Revisions beyond the agreed cycles shall be billed at the Architect's standard hourly rate of INR 3,500 per hour.</w:t>
      </w:r>
    </w:p>
    <w:p>
      <w:pPr>
        <w:numPr>
          <w:ilvl w:val="0"/>
          <w:numId w:val="1001"/>
        </w:numPr>
        <w:pStyle w:val="Compact"/>
      </w:pPr>
      <w:r>
        <w:t xml:space="preserve">Payment terms are net thirty (30) days from the date of invoice issuance, provided the corresponding milestone deliverable has been accepted in writing by the Buyer's project team in India Bangalore.</w:t>
      </w:r>
    </w:p>
    <w:p>
      <w:pPr>
        <w:numPr>
          <w:ilvl w:val="0"/>
          <w:numId w:val="1001"/>
        </w:numPr>
        <w:pStyle w:val="Compact"/>
      </w:pPr>
      <w:r>
        <w:t xml:space="preserve">The Architect shall not subcontract any portion of the architectural services without prior written approval from the Buyer. Any approved subcontractor shall remain under the Architect's full professional supervision and liability.</w:t>
      </w:r>
    </w:p>
    <w:p>
      <w:pPr>
        <w:numPr>
          <w:ilvl w:val="0"/>
          <w:numId w:val="1001"/>
        </w:numPr>
        <w:pStyle w:val="Compact"/>
      </w:pPr>
      <w:r>
        <w:t xml:space="preserve">This Purchase Order shall remain valid for thirty (30) calendar days from the date of issue. If not accepted and signed by the Architect within this period, the Purchase Order shall lapse and must be re-issued.</w:t>
      </w:r>
    </w:p>
    <w:p>
      <w:pPr>
        <w:numPr>
          <w:ilvl w:val="0"/>
          <w:numId w:val="1001"/>
        </w:numPr>
        <w:pStyle w:val="Compact"/>
      </w:pPr>
      <w:r>
        <w:t xml:space="preserve">Force Majeure: Neither party shall be liable for delays caused by events beyond reasonable control, including but not limited to natural disasters, government policy changes affecting construction in India Bangalore, or pandemics, provided written notice is given within 48 hours of the event.</w:t>
      </w:r>
    </w:p>
    <w:p>
      <w:pPr>
        <w:numPr>
          <w:ilvl w:val="0"/>
          <w:numId w:val="1001"/>
        </w:numPr>
        <w:pStyle w:val="Compact"/>
      </w:pPr>
      <w:r>
        <w:t xml:space="preserve">The Architect shall maintain complete confidentiality of all project information, site data, and commercial details shared under this Purchase Order, both during and for a period of three (3) years after project completion.</w:t>
      </w:r>
    </w:p>
    <w:bookmarkEnd w:id="26"/>
    <w:bookmarkStart w:id="27" w:name="acceptance-and-signatures"/>
    <w:p>
      <w:pPr>
        <w:pStyle w:val="Heading2"/>
      </w:pPr>
      <w:r>
        <w:t xml:space="preserve">7. Acceptance and Signatures</w:t>
      </w:r>
    </w:p>
    <w:p>
      <w:pPr>
        <w:pStyle w:val="FirstParagraph"/>
      </w:pPr>
      <w:r>
        <w:t xml:space="preserve">By signing below, both parties acknowledge and agree to all terms, conditions, and scope of work outlined in this Purchase Order for the engagement of the Architect for the referenced project in India Bangalore.</w:t>
      </w:r>
    </w:p>
    <w:p>
      <w:pPr>
        <w:pStyle w:val="BodyText"/>
      </w:pPr>
      <w:r>
        <w:rPr>
          <w:bCs/>
          <w:b/>
        </w:rPr>
        <w:t xml:space="preserve">For and on behalf of the Buyer:</w:t>
      </w:r>
    </w:p>
    <w:p>
      <w:pPr>
        <w:pStyle w:val="BodyText"/>
      </w:pPr>
      <w:r>
        <w:t xml:space="preserve">Deccan Urban Development Pvt. Ltd.</w:t>
      </w:r>
    </w:p>
    <w:p>
      <w:pPr>
        <w:pStyle w:val="BodyText"/>
      </w:pPr>
      <w:r>
        <w:rPr>
          <w:bCs/>
          <w:b/>
        </w:rPr>
        <w:t xml:space="preserve">Name:</w:t>
      </w:r>
      <w:r>
        <w:t xml:space="preserve"> </w:t>
      </w:r>
      <w:r>
        <w:t xml:space="preserve">Mr. Rajesh Kumar</w:t>
      </w:r>
      <w:r>
        <w:br/>
      </w:r>
      <w:r>
        <w:rPr>
          <w:bCs/>
          <w:b/>
        </w:rPr>
        <w:t xml:space="preserve">Designation:</w:t>
      </w:r>
      <w:r>
        <w:t xml:space="preserve"> </w:t>
      </w:r>
      <w:r>
        <w:t xml:space="preserve">Director – Projects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r>
        <w:br/>
      </w:r>
      <w:r>
        <w:rPr>
          <w:bCs/>
          <w:b/>
        </w:rPr>
        <w:t xml:space="preserve">Place:</w:t>
      </w:r>
      <w:r>
        <w:t xml:space="preserve"> </w:t>
      </w:r>
      <w:r>
        <w:t xml:space="preserve">India Bangalore</w:t>
      </w:r>
    </w:p>
    <w:p>
      <w:pPr>
        <w:pStyle w:val="BodyText"/>
      </w:pPr>
      <w:r>
        <w:rPr>
          <w:bCs/>
          <w:b/>
        </w:rPr>
        <w:t xml:space="preserve">For and on behalf of the Architect:</w:t>
      </w:r>
    </w:p>
    <w:p>
      <w:pPr>
        <w:pStyle w:val="BodyText"/>
      </w:pPr>
      <w:r>
        <w:t xml:space="preserve">Studio Meridian Architects &amp; Planners</w:t>
      </w:r>
    </w:p>
    <w:p>
      <w:pPr>
        <w:pStyle w:val="BodyText"/>
      </w:pPr>
      <w:r>
        <w:rPr>
          <w:bCs/>
          <w:b/>
        </w:rPr>
        <w:t xml:space="preserve">Name:</w:t>
      </w:r>
      <w:r>
        <w:t xml:space="preserve"> </w:t>
      </w:r>
      <w:r>
        <w:t xml:space="preserve">Ms. Ananya Deshpande</w:t>
      </w:r>
      <w:r>
        <w:br/>
      </w:r>
      <w:r>
        <w:rPr>
          <w:bCs/>
          <w:b/>
        </w:rPr>
        <w:t xml:space="preserve">Designation:</w:t>
      </w:r>
      <w:r>
        <w:t xml:space="preserve"> </w:t>
      </w:r>
      <w:r>
        <w:t xml:space="preserve">Principal Architect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r>
        <w:br/>
      </w:r>
      <w:r>
        <w:rPr>
          <w:bCs/>
          <w:b/>
        </w:rPr>
        <w:t xml:space="preserve">Place:</w:t>
      </w:r>
      <w:r>
        <w:t xml:space="preserve"> </w:t>
      </w:r>
      <w:r>
        <w:t xml:space="preserve">India Bangalore</w:t>
      </w:r>
    </w:p>
    <w:bookmarkEnd w:id="27"/>
    <w:p>
      <w:pPr>
        <w:pStyle w:val="BodyText"/>
      </w:pPr>
      <w:r>
        <w:t xml:space="preserve">This Purchase Order (No. BLR-ARC-2025-00472) is issued by Deccan Urban Development Pvt. Ltd., India Bangalore, for the engagement of professional Architect services. This document is valid only when signed and stamped by both parties. For queries, contact the Projects Department at +91-80-4112-7788. © 2025 Deccan Urban Development Pvt.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India Bangalore</dc:title>
  <dc:creator/>
  <dc:language>en</dc:language>
  <cp:keywords/>
  <dcterms:created xsi:type="dcterms:W3CDTF">2026-10-10T06:57:56Z</dcterms:created>
  <dcterms:modified xsi:type="dcterms:W3CDTF">2026-10-10T06:57:56Z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