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t xml:space="preserve">Professional Architect Services Engagement — Mumbai, India</w:t>
      </w:r>
    </w:p>
    <w:p>
      <w:pPr>
        <w:pStyle w:val="BodyText"/>
      </w:pPr>
      <w:r>
        <w:t xml:space="preserve">Document Reference: PO/MUM/ARC/2025/0047</w:t>
      </w:r>
    </w:p>
    <w:bookmarkEnd w:id="20"/>
    <w:bookmarkStart w:id="21" w:name="issuing-party-buyer"/>
    <w:p>
      <w:pPr>
        <w:pStyle w:val="Heading3"/>
      </w:pPr>
      <w:r>
        <w:t xml:space="preserve">Issuing Party (Buyer)</w:t>
      </w:r>
    </w:p>
    <w:p>
      <w:pPr>
        <w:pStyle w:val="FirstParagraph"/>
      </w:pPr>
      <w:r>
        <w:rPr>
          <w:bCs/>
          <w:b/>
        </w:rPr>
        <w:t xml:space="preserve">Shree Vardhman Construction &amp; Developers Pvt. Ltd.</w:t>
      </w:r>
      <w:r>
        <w:br/>
      </w:r>
      <w:r>
        <w:t xml:space="preserve">Office No. 1204, 12th Floor, Trade World Tower,</w:t>
      </w:r>
      <w:r>
        <w:br/>
      </w:r>
      <w:r>
        <w:t xml:space="preserve">BKC, Bandra Kurla Complex,</w:t>
      </w:r>
      <w:r>
        <w:br/>
      </w:r>
      <w:r>
        <w:t xml:space="preserve">Mumbai, Maharashtra — 400051, India</w:t>
      </w:r>
      <w:r>
        <w:br/>
      </w:r>
      <w:r>
        <w:t xml:space="preserve">CIN: U45200MH2018PTC312456</w:t>
      </w:r>
      <w:r>
        <w:br/>
      </w:r>
      <w:r>
        <w:t xml:space="preserve">GSTIN: 27AABCS1234F1Z5</w:t>
      </w:r>
      <w:r>
        <w:br/>
      </w:r>
      <w:r>
        <w:t xml:space="preserve">Contact: procurement@vardhmanconstruct.in</w:t>
      </w:r>
      <w:r>
        <w:br/>
      </w:r>
      <w:r>
        <w:t xml:space="preserve">Phone: +91-22-4055-8890</w:t>
      </w:r>
    </w:p>
    <w:bookmarkEnd w:id="21"/>
    <w:bookmarkStart w:id="22" w:name="vendor-service-provider-architect"/>
    <w:p>
      <w:pPr>
        <w:pStyle w:val="Heading3"/>
      </w:pPr>
      <w:r>
        <w:t xml:space="preserve">Vendor / Service Provider (Architect)</w:t>
      </w:r>
    </w:p>
    <w:p>
      <w:pPr>
        <w:pStyle w:val="FirstParagraph"/>
      </w:pPr>
      <w:r>
        <w:rPr>
          <w:bCs/>
          <w:b/>
        </w:rPr>
        <w:t xml:space="preserve">Studio Meridian Architects &amp; Planners LLP</w:t>
      </w:r>
      <w:r>
        <w:br/>
      </w:r>
      <w:r>
        <w:t xml:space="preserve">Registered Office: 3rd Floor, 14 Nariman Point,</w:t>
      </w:r>
      <w:r>
        <w:br/>
      </w:r>
      <w:r>
        <w:t xml:space="preserve">Mumbai, Maharashtra — 400021, India</w:t>
      </w:r>
      <w:r>
        <w:br/>
      </w:r>
      <w:r>
        <w:t xml:space="preserve">ICAI Registration No.: A-18472</w:t>
      </w:r>
      <w:r>
        <w:br/>
      </w:r>
      <w:r>
        <w:t xml:space="preserve">COA (Council of Architecture) Reg. No.: M-2019-04521</w:t>
      </w:r>
      <w:r>
        <w:br/>
      </w:r>
      <w:r>
        <w:t xml:space="preserve">GSTIN: 27AAKFS5678G1Z3</w:t>
      </w:r>
      <w:r>
        <w:br/>
      </w:r>
      <w:r>
        <w:t xml:space="preserve">Contact: projects@studiomeridian.in</w:t>
      </w:r>
      <w:r>
        <w:br/>
      </w:r>
      <w:r>
        <w:t xml:space="preserve">Phone: +91-22-2284-6612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PO/MUM/ARC/2025/0047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Name:</w:t>
            </w:r>
          </w:p>
        </w:tc>
        <w:tc>
          <w:tcPr/>
          <w:p>
            <w:pPr>
              <w:pStyle w:val="Compact"/>
              <w:jc w:val="left"/>
            </w:pPr>
            <w:r>
              <w:t xml:space="preserve">Vardhman Skyline Residency, Andheri East</w:t>
            </w:r>
          </w:p>
        </w:tc>
        <w:tc>
          <w:tcPr/>
          <w:p>
            <w:pPr>
              <w:pStyle w:val="Compact"/>
              <w:jc w:val="left"/>
            </w:pPr>
            <w:r>
              <w:t xml:space="preserve">Delivery Location:</w:t>
            </w:r>
          </w:p>
        </w:tc>
        <w:tc>
          <w:tcPr/>
          <w:p>
            <w:pPr>
              <w:pStyle w:val="Compact"/>
              <w:jc w:val="left"/>
            </w:pPr>
            <w:r>
              <w:t xml:space="preserve">Mumbai, Maharashtra, India</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Validity of PO:</w:t>
            </w:r>
          </w:p>
        </w:tc>
        <w:tc>
          <w:tcPr/>
          <w:p>
            <w:pPr>
              <w:pStyle w:val="Compact"/>
              <w:jc w:val="left"/>
            </w:pPr>
            <w:r>
              <w:t xml:space="preserve">90 days from date of issue</w:t>
            </w:r>
          </w:p>
        </w:tc>
      </w:tr>
      <w:tr>
        <w:tc>
          <w:tcPr/>
          <w:p>
            <w:pPr>
              <w:pStyle w:val="Compact"/>
              <w:jc w:val="left"/>
            </w:pPr>
            <w:r>
              <w:t xml:space="preserve">Governing Law:</w:t>
            </w:r>
          </w:p>
        </w:tc>
        <w:tc>
          <w:tcPr/>
          <w:p>
            <w:pPr>
              <w:pStyle w:val="Compact"/>
              <w:jc w:val="left"/>
            </w:pPr>
            <w:r>
              <w:t xml:space="preserve">Laws of India; Jurisdiction: Mumbai, Maharashtra</w:t>
            </w:r>
          </w:p>
        </w:tc>
        <w:tc>
          <w:tcPr/>
          <w:p>
            <w:pPr>
              <w:pStyle w:val="Compact"/>
              <w:jc w:val="left"/>
            </w:pPr>
            <w:r>
              <w:t xml:space="preserve">PO Status:</w:t>
            </w:r>
          </w:p>
        </w:tc>
        <w:tc>
          <w:tcPr/>
          <w:p>
            <w:pPr>
              <w:pStyle w:val="Compact"/>
              <w:jc w:val="left"/>
            </w:pPr>
            <w:r>
              <w:t xml:space="preserve">Active — Awaiting Architect Acceptance</w:t>
            </w:r>
          </w:p>
        </w:tc>
      </w:tr>
    </w:tbl>
    <w:bookmarkStart w:id="23" w:name="X10a2c2435b0d03c16d75d1f477249f9f87b113f"/>
    <w:p>
      <w:pPr>
        <w:pStyle w:val="Heading2"/>
      </w:pPr>
      <w:r>
        <w:t xml:space="preserve">1. Description of Architect Services Procured</w:t>
      </w:r>
    </w:p>
    <w:p>
      <w:pPr>
        <w:pStyle w:val="FirstParagraph"/>
      </w:pPr>
      <w:r>
        <w:t xml:space="preserve">This Purchase Order is issued by</w:t>
      </w:r>
      <w:r>
        <w:t xml:space="preserve"> </w:t>
      </w:r>
      <w:r>
        <w:t xml:space="preserve">Shree Vardhman Construction &amp; Developers Pvt. Ltd.</w:t>
      </w:r>
      <w:r>
        <w:t xml:space="preserve"> </w:t>
      </w:r>
      <w:r>
        <w:t xml:space="preserve">(hereinafter referred to as the "Buyer") to</w:t>
      </w:r>
      <w:r>
        <w:t xml:space="preserve"> </w:t>
      </w:r>
      <w:r>
        <w:t xml:space="preserve">Studio Meridian Architects &amp; Planners LLP</w:t>
      </w:r>
      <w:r>
        <w:t xml:space="preserve"> </w:t>
      </w:r>
      <w:r>
        <w:t xml:space="preserve">(hereinafter referred to as the "Architect") for the provision of comprehensive architectural design, planning, and consultancy services for the Vardhman Skyline Residency project located in Andheri East, Mumbai, India. The Architect shall deliver all services in strict compliance with the Building and Other Construction Workers Act, 1996, the Maharashtra Regional and Town Planning (MRTP) Act, 1966, and all applicable norms prescribed by the Mumbai Municipal Corporation (BMC) and the Council of Architecture (COA), India.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Scope of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Concept Design &amp; Feasibility Study</w:t>
            </w:r>
          </w:p>
        </w:tc>
        <w:tc>
          <w:tcPr/>
          <w:p>
            <w:pPr>
              <w:pStyle w:val="Compact"/>
              <w:jc w:val="left"/>
            </w:pPr>
            <w:r>
              <w:t xml:space="preserve">Preparation of concept drawings, massing studies, site analysis, and feasibility report for a 42-storey residential tower in Mumbai, India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Detailed Architectural Drawings</w:t>
            </w:r>
          </w:p>
        </w:tc>
        <w:tc>
          <w:tcPr/>
          <w:p>
            <w:pPr>
              <w:pStyle w:val="Compact"/>
              <w:jc w:val="left"/>
            </w:pPr>
            <w:r>
              <w:t xml:space="preserve">Complete set of working drawings including floor plans, elevations, sections, structural coordination, MEP layouts, and 3D renderings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BMC &amp; MRTP Approval Filings</w:t>
            </w:r>
          </w:p>
        </w:tc>
        <w:tc>
          <w:tcPr/>
          <w:p>
            <w:pPr>
              <w:pStyle w:val="Compact"/>
              <w:jc w:val="left"/>
            </w:pPr>
            <w:r>
              <w:t xml:space="preserve">Preparation and submission of all drawings and documents for building plan approval from the Mumbai Municipal Corporation and MRTP Authority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Site Supervision &amp; Construction Phase Support</w:t>
            </w:r>
          </w:p>
        </w:tc>
        <w:tc>
          <w:tcPr/>
          <w:p>
            <w:pPr>
              <w:pStyle w:val="Compact"/>
              <w:jc w:val="left"/>
            </w:pPr>
            <w:r>
              <w:t xml:space="preserve">Weekly site visits, architectural supervision, RFIs, variation management, and as-built documentation at the project site in Mumbai</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32,40,000</w:t>
            </w:r>
          </w:p>
        </w:tc>
      </w:tr>
      <w:tr>
        <w:tc>
          <w:tcPr/>
          <w:p>
            <w:pPr>
              <w:pStyle w:val="Compact"/>
              <w:jc w:val="left"/>
            </w:pPr>
            <w:r>
              <w:t xml:space="preserve">5</w:t>
            </w:r>
          </w:p>
        </w:tc>
        <w:tc>
          <w:tcPr/>
          <w:p>
            <w:pPr>
              <w:pStyle w:val="Compact"/>
              <w:jc w:val="left"/>
            </w:pPr>
            <w:r>
              <w:t xml:space="preserve">Interior Design &amp; FF&amp;E Specification</w:t>
            </w:r>
          </w:p>
        </w:tc>
        <w:tc>
          <w:tcPr/>
          <w:p>
            <w:pPr>
              <w:pStyle w:val="Compact"/>
              <w:jc w:val="left"/>
            </w:pPr>
            <w:r>
              <w:t xml:space="preserve">Interior design for 200 residential units, clubhouse, and amenities; furniture, fixtures, and equipment schedules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Green Building Certification (IGBC)</w:t>
            </w:r>
          </w:p>
        </w:tc>
        <w:tc>
          <w:tcPr/>
          <w:p>
            <w:pPr>
              <w:pStyle w:val="Compact"/>
              <w:jc w:val="left"/>
            </w:pPr>
            <w:r>
              <w:t xml:space="preserve">Consultancy and documentation for Indian Green Building Council (IGBC) Platinum certification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gridSpan w:val="6"/>
          </w:tcPr>
          <w:p>
            <w:pPr>
              <w:pStyle w:val="Compact"/>
              <w:jc w:val="right"/>
            </w:pPr>
            <w:r>
              <w:t xml:space="preserve">Subtotal (INR):</w:t>
            </w:r>
          </w:p>
        </w:tc>
        <w:tc>
          <w:tcPr/>
          <w:p>
            <w:pPr>
              <w:pStyle w:val="Compact"/>
              <w:jc w:val="left"/>
            </w:pPr>
            <w:r>
              <w:t xml:space="preserve">63,40,000</w:t>
            </w:r>
          </w:p>
        </w:tc>
      </w:tr>
      <w:tr>
        <w:tc>
          <w:tcPr>
            <w:gridSpan w:val="6"/>
          </w:tcPr>
          <w:p>
            <w:pPr>
              <w:pStyle w:val="Compact"/>
              <w:jc w:val="right"/>
            </w:pPr>
            <w:r>
              <w:t xml:space="preserve">GST @ 18% (INR):</w:t>
            </w:r>
          </w:p>
        </w:tc>
        <w:tc>
          <w:tcPr/>
          <w:p>
            <w:pPr>
              <w:pStyle w:val="Compact"/>
              <w:jc w:val="left"/>
            </w:pPr>
            <w:r>
              <w:t xml:space="preserve">11,41,200</w:t>
            </w:r>
          </w:p>
        </w:tc>
      </w:tr>
      <w:tr>
        <w:tc>
          <w:tcPr>
            <w:gridSpan w:val="6"/>
          </w:tcPr>
          <w:p>
            <w:pPr>
              <w:pStyle w:val="Compact"/>
              <w:jc w:val="right"/>
            </w:pPr>
            <w:r>
              <w:t xml:space="preserve">Grand Total (INR):</w:t>
            </w:r>
          </w:p>
        </w:tc>
        <w:tc>
          <w:tcPr/>
          <w:p>
            <w:pPr>
              <w:pStyle w:val="Compact"/>
              <w:jc w:val="left"/>
            </w:pPr>
            <w:r>
              <w:t xml:space="preserve">74,81,200</w:t>
            </w:r>
          </w:p>
        </w:tc>
      </w:tr>
    </w:tbl>
    <w:p>
      <w:pPr>
        <w:pStyle w:val="BodyText"/>
      </w:pPr>
      <w:r>
        <w:rPr>
          <w:bCs/>
          <w:b/>
        </w:rPr>
        <w:t xml:space="preserve">GST Note:</w:t>
      </w:r>
      <w:r>
        <w:t xml:space="preserve"> </w:t>
      </w:r>
      <w:r>
        <w:t xml:space="preserve">The above amounts are exclusive of Goods and Services Tax (GST) at the applicable rate of 18% as per the Central Goods and Services Tax Act, 2017, and the Maharashtra State GST Act, 2017. The Architect shall issue a valid GST tax invoice in accordance with Section 31 of the CGST Act. TDS under Section 194J of the Income Tax Act, 1961, at the rate of 10% shall be deducted by the Buyer on professional fees payable to the Architect.</w:t>
      </w:r>
    </w:p>
    <w:bookmarkEnd w:id="23"/>
    <w:bookmarkStart w:id="24" w:name="terms-and-conditions"/>
    <w:p>
      <w:pPr>
        <w:pStyle w:val="Heading2"/>
      </w:pPr>
      <w:r>
        <w:t xml:space="preserve">2.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Architect within seven (7) calendar days of the date of issue. The Architect's acceptance shall be communicated in writing to the Buyer's procurement department in Mumbai, India.</w:t>
      </w:r>
    </w:p>
    <w:p>
      <w:pPr>
        <w:numPr>
          <w:ilvl w:val="0"/>
          <w:numId w:val="1001"/>
        </w:numPr>
        <w:pStyle w:val="Compact"/>
      </w:pPr>
      <w:r>
        <w:rPr>
          <w:bCs/>
          <w:b/>
        </w:rPr>
        <w:t xml:space="preserve">Timeline:</w:t>
      </w:r>
      <w:r>
        <w:t xml:space="preserve"> </w:t>
      </w:r>
      <w:r>
        <w:t xml:space="preserve">The Architect shall complete the Concept Design phase within thirty (30) days of Purchase Order acceptance. Detailed drawings shall be delivered within sixty (60) days. Site supervision shall commence upon receipt of the Building Plan Sanction from the BMC, Mumbai, and shall continue for eighteen (18) months or until practical completion, whichever is earlier.</w:t>
      </w:r>
    </w:p>
    <w:p>
      <w:pPr>
        <w:numPr>
          <w:ilvl w:val="0"/>
          <w:numId w:val="1001"/>
        </w:numPr>
        <w:pStyle w:val="Compact"/>
      </w:pPr>
      <w:r>
        <w:rPr>
          <w:bCs/>
          <w:b/>
        </w:rPr>
        <w:t xml:space="preserve">Payment Schedule:</w:t>
      </w:r>
      <w:r>
        <w:t xml:space="preserve"> </w:t>
      </w:r>
      <w:r>
        <w:t xml:space="preserve">Payment shall be made in the following milestones: 20% upon Purchase Order acceptance, 25% upon delivery of detailed architectural drawings, 25% upon receipt of BMC building plan approval, and 30% in equal monthly instalments during the site supervision phase. All payments shall be made via NEFT/RTGS to the Architect's designated bank account in Mumbai, India.</w:t>
      </w:r>
    </w:p>
    <w:p>
      <w:pPr>
        <w:numPr>
          <w:ilvl w:val="0"/>
          <w:numId w:val="1001"/>
        </w:numPr>
        <w:pStyle w:val="Compact"/>
      </w:pPr>
      <w:r>
        <w:rPr>
          <w:bCs/>
          <w:b/>
        </w:rPr>
        <w:t xml:space="preserve">Intellectual Property:</w:t>
      </w:r>
      <w:r>
        <w:t xml:space="preserve"> </w:t>
      </w:r>
      <w:r>
        <w:t xml:space="preserve">All drawings, designs, models, and documentation created by the Architect under this Purchase Order shall become the exclusive property of the Buyer upon full and final payment. The Architect shall not reuse, reproduce, or disclose any project-specific information without prior written consent.</w:t>
      </w:r>
    </w:p>
    <w:p>
      <w:pPr>
        <w:numPr>
          <w:ilvl w:val="0"/>
          <w:numId w:val="1001"/>
        </w:numPr>
        <w:pStyle w:val="Compact"/>
      </w:pPr>
      <w:r>
        <w:rPr>
          <w:bCs/>
          <w:b/>
        </w:rPr>
        <w:t xml:space="preserve">Professional Liability &amp; Insurance:</w:t>
      </w:r>
      <w:r>
        <w:t xml:space="preserve"> </w:t>
      </w:r>
      <w:r>
        <w:t xml:space="preserve">The Architect shall maintain a valid Professional Indemnity Insurance policy with a minimum cover of INR 5 Crores throughout the duration of this engagement. The Architect shall be liable for any losses arising from design errors, omissions, or non-compliance with Indian building codes and Mumbai municipal regulations.</w:t>
      </w:r>
    </w:p>
    <w:p>
      <w:pPr>
        <w:numPr>
          <w:ilvl w:val="0"/>
          <w:numId w:val="1001"/>
        </w:numPr>
        <w:pStyle w:val="Compact"/>
      </w:pPr>
      <w:r>
        <w:rPr>
          <w:bCs/>
          <w:b/>
        </w:rPr>
        <w:t xml:space="preserve">Compliance with Indian Law:</w:t>
      </w:r>
      <w:r>
        <w:t xml:space="preserve"> </w:t>
      </w:r>
      <w:r>
        <w:t xml:space="preserve">The Architect warrants that all services rendered shall comply with the National Building Code of India (NBC 2016), the Maharashtra Town and Country Planning Act, 1976, the Fire Safety norms of the Mumbai Fire Service, and all applicable COA regulations. The Architect shall bear all statutory fees, levies, and charges payable to the BMC or any other authority in Mumbai, India, unless otherwise specified.</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Architect shall be entitled to payment for services rendered up to the date of termination, subject to a deduction of 5% as liquidated damages for incomplete deliverables.</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Mumbai, Maharashtra, India, in accordance with the Arbitration and Conciliation Act, 1996. The seat of arbitration shall be Mumbai.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orders, or pandemics, as defined under Indian contract law.</w:t>
      </w:r>
    </w:p>
    <w:p>
      <w:pPr>
        <w:numPr>
          <w:ilvl w:val="0"/>
          <w:numId w:val="1001"/>
        </w:numPr>
        <w:pStyle w:val="Compact"/>
      </w:pPr>
      <w:r>
        <w:rPr>
          <w:bCs/>
          <w:b/>
        </w:rPr>
        <w:t xml:space="preserve">Confidentiality:</w:t>
      </w:r>
      <w:r>
        <w:t xml:space="preserve"> </w:t>
      </w:r>
      <w:r>
        <w:t xml:space="preserve">The Architect shall treat all project information, client data, and commercial terms as strictly confidential and shall not disclose them to any third party in Mumbai or elsewhere without the Buyer's prior written approval.</w:t>
      </w:r>
    </w:p>
    <w:bookmarkEnd w:id="24"/>
    <w:bookmarkStart w:id="25" w:name="authorised-signatories"/>
    <w:p>
      <w:pPr>
        <w:pStyle w:val="Heading2"/>
      </w:pPr>
      <w:r>
        <w:t xml:space="preserve">3. Authorised Signatories</w:t>
      </w:r>
    </w:p>
    <w:p>
      <w:pPr>
        <w:pStyle w:val="FirstParagraph"/>
      </w:pPr>
      <w:r>
        <w:rPr>
          <w:bCs/>
          <w:b/>
        </w:rPr>
        <w:t xml:space="preserve">For and on behalf of the Buyer</w:t>
      </w:r>
      <w:r>
        <w:br/>
      </w:r>
      <w:r>
        <w:t xml:space="preserve">Shree Vardhman Construction &amp; Developers Pvt. Ltd.</w:t>
      </w:r>
      <w:r>
        <w:br/>
      </w:r>
      <w:r>
        <w:br/>
      </w:r>
      <w:r>
        <w:t xml:space="preserve">Name: Mr. Rajesh Vardhman</w:t>
      </w:r>
      <w:r>
        <w:br/>
      </w:r>
      <w:r>
        <w:t xml:space="preserve">Designation: Managing Director</w:t>
      </w:r>
      <w:r>
        <w:br/>
      </w:r>
      <w:r>
        <w:t xml:space="preserve">Date: _______________</w:t>
      </w:r>
    </w:p>
    <w:p>
      <w:pPr>
        <w:pStyle w:val="BodyText"/>
      </w:pPr>
      <w:r>
        <w:rPr>
          <w:bCs/>
          <w:b/>
        </w:rPr>
        <w:t xml:space="preserve">For and on behalf of the Architect</w:t>
      </w:r>
      <w:r>
        <w:br/>
      </w:r>
      <w:r>
        <w:t xml:space="preserve">Studio Meridian Architects &amp; Planners LLP</w:t>
      </w:r>
      <w:r>
        <w:br/>
      </w:r>
      <w:r>
        <w:br/>
      </w:r>
      <w:r>
        <w:t xml:space="preserve">Name: Ms. Ananya Deshpande</w:t>
      </w:r>
      <w:r>
        <w:br/>
      </w:r>
      <w:r>
        <w:t xml:space="preserve">Designation: Principal Architect (COA Reg. No. M-2019-04521)</w:t>
      </w:r>
      <w:r>
        <w:br/>
      </w:r>
      <w:r>
        <w:t xml:space="preserve">Date: _______________</w:t>
      </w:r>
    </w:p>
    <w:p>
      <w:pPr>
        <w:pStyle w:val="BodyText"/>
      </w:pPr>
      <w:r>
        <w:t xml:space="preserve">This Purchase Order is issued under the laws of the Republic of India and is subject to the jurisdiction of the competent courts in Mumbai, Maharashtra, India.</w:t>
      </w:r>
      <w:r>
        <w:br/>
      </w:r>
      <w:r>
        <w:t xml:space="preserve">Document generated on 15 June 2025 | PO/MUM/ARC/2025/0047 | Page 1 of 1</w:t>
      </w:r>
      <w:r>
        <w:br/>
      </w:r>
      <w:r>
        <w:t xml:space="preserve">This is a system-generated document. In case of any discrepancy, the original signed copy held by the Buyer's records office in Mumbai shall prevail.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Mumbai, India</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