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8" w:name="purchase-order"/>
    <w:p>
      <w:pPr>
        <w:pStyle w:val="Heading1"/>
      </w:pPr>
      <w:r>
        <w:t xml:space="preserve">PURCHASE ORDER</w:t>
      </w:r>
    </w:p>
    <w:p>
      <w:pPr>
        <w:pStyle w:val="FirstParagraph"/>
      </w:pPr>
      <w:r>
        <w:t xml:space="preserve">Architectural Design and Consultation Services — Indonesia Jakarta</w:t>
      </w:r>
    </w:p>
    <w:bookmarkStart w:id="20" w:name="issuing-company-buyer"/>
    <w:p>
      <w:pPr>
        <w:pStyle w:val="Heading3"/>
      </w:pPr>
      <w:r>
        <w:t xml:space="preserve">Issuing Company (Buyer)</w:t>
      </w:r>
    </w:p>
    <w:p>
      <w:pPr>
        <w:pStyle w:val="FirstParagraph"/>
      </w:pPr>
      <w:r>
        <w:rPr>
          <w:bCs/>
          <w:b/>
        </w:rPr>
        <w:t xml:space="preserve">PT Nusantara Development Group</w:t>
      </w:r>
      <w:r>
        <w:br/>
      </w:r>
      <w:r>
        <w:t xml:space="preserve">Jl. Jend. Sudirman Kav. 52-53, 12th Floor</w:t>
      </w:r>
      <w:r>
        <w:br/>
      </w:r>
      <w:r>
        <w:t xml:space="preserve">Jakarta Selatan, Indonesia Jakarta 12190</w:t>
      </w:r>
      <w:r>
        <w:br/>
      </w:r>
      <w:r>
        <w:t xml:space="preserve">Phone: +62-21-5790-4422</w:t>
      </w:r>
      <w:r>
        <w:br/>
      </w:r>
      <w:r>
        <w:t xml:space="preserve">Email: procurement@nusantaradg.co.id</w:t>
      </w:r>
      <w:r>
        <w:br/>
      </w:r>
      <w:r>
        <w:t xml:space="preserve">NPWP: 01.234.567.8-011.000</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PO-NDG-2025-04782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Project Reference:</w:t>
      </w:r>
      <w:r>
        <w:t xml:space="preserve"> </w:t>
      </w:r>
      <w:r>
        <w:t xml:space="preserve">NDG-JKT-RES-2025-011</w:t>
      </w:r>
      <w:r>
        <w:br/>
      </w:r>
      <w:r>
        <w:rPr>
          <w:bCs/>
          <w:b/>
        </w:rPr>
        <w:t xml:space="preserve">Payment Terms:</w:t>
      </w:r>
      <w:r>
        <w:t xml:space="preserve"> </w:t>
      </w:r>
      <w:r>
        <w:t xml:space="preserve">Net 30 Days</w:t>
      </w:r>
    </w:p>
    <w:bookmarkEnd w:id="21"/>
    <w:bookmarkStart w:id="22" w:name="vendor-service-provider-architect"/>
    <w:p>
      <w:pPr>
        <w:pStyle w:val="Heading2"/>
      </w:pPr>
      <w:r>
        <w:t xml:space="preserve">Vendor / Service Provider (Architect)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PT Arsitek Cipta Karya Indonesia</w:t>
            </w:r>
          </w:p>
        </w:tc>
      </w:tr>
      <w:tr>
        <w:tc>
          <w:tcPr/>
          <w:p>
            <w:pPr>
              <w:pStyle w:val="Compact"/>
              <w:jc w:val="left"/>
            </w:pPr>
            <w:r>
              <w:t xml:space="preserve">Lead Architect</w:t>
            </w:r>
          </w:p>
        </w:tc>
        <w:tc>
          <w:tcPr/>
          <w:p>
            <w:pPr>
              <w:pStyle w:val="Compact"/>
              <w:jc w:val="left"/>
            </w:pPr>
            <w:r>
              <w:t xml:space="preserve">Ir. Budi Santoso, IAI (Indonesian Institute of Architects)</w:t>
            </w:r>
          </w:p>
        </w:tc>
      </w:tr>
      <w:tr>
        <w:tc>
          <w:tcPr/>
          <w:p>
            <w:pPr>
              <w:pStyle w:val="Compact"/>
              <w:jc w:val="left"/>
            </w:pPr>
            <w:r>
              <w:t xml:space="preserve">Address</w:t>
            </w:r>
          </w:p>
        </w:tc>
        <w:tc>
          <w:tcPr/>
          <w:p>
            <w:pPr>
              <w:pStyle w:val="Compact"/>
              <w:jc w:val="left"/>
            </w:pPr>
            <w:r>
              <w:t xml:space="preserve">Jl. HR. Rasuna Said Kav. 5, Kuningan, Jakarta Selatan, Indonesia Jakarta 12950</w:t>
            </w:r>
          </w:p>
        </w:tc>
      </w:tr>
      <w:tr>
        <w:tc>
          <w:tcPr/>
          <w:p>
            <w:pPr>
              <w:pStyle w:val="Compact"/>
              <w:jc w:val="left"/>
            </w:pPr>
            <w:r>
              <w:t xml:space="preserve">Phone</w:t>
            </w:r>
          </w:p>
        </w:tc>
        <w:tc>
          <w:tcPr/>
          <w:p>
            <w:pPr>
              <w:pStyle w:val="Compact"/>
              <w:jc w:val="left"/>
            </w:pPr>
            <w:r>
              <w:t xml:space="preserve">+62-21-520-8877</w:t>
            </w:r>
          </w:p>
        </w:tc>
      </w:tr>
      <w:tr>
        <w:tc>
          <w:tcPr/>
          <w:p>
            <w:pPr>
              <w:pStyle w:val="Compact"/>
              <w:jc w:val="left"/>
            </w:pPr>
            <w:r>
              <w:t xml:space="preserve">Email</w:t>
            </w:r>
          </w:p>
        </w:tc>
        <w:tc>
          <w:tcPr/>
          <w:p>
            <w:pPr>
              <w:pStyle w:val="Compact"/>
              <w:jc w:val="left"/>
            </w:pPr>
            <w:r>
              <w:t xml:space="preserve">projects@arsitekciptakarya.co.id</w:t>
            </w:r>
          </w:p>
        </w:tc>
      </w:tr>
      <w:tr>
        <w:tc>
          <w:tcPr/>
          <w:p>
            <w:pPr>
              <w:pStyle w:val="Compact"/>
              <w:jc w:val="left"/>
            </w:pPr>
            <w:r>
              <w:t xml:space="preserve">NPWP</w:t>
            </w:r>
          </w:p>
        </w:tc>
        <w:tc>
          <w:tcPr/>
          <w:p>
            <w:pPr>
              <w:pStyle w:val="Compact"/>
              <w:jc w:val="left"/>
            </w:pPr>
            <w:r>
              <w:t xml:space="preserve">02.987.654.3-012.000</w:t>
            </w:r>
          </w:p>
        </w:tc>
      </w:tr>
      <w:tr>
        <w:tc>
          <w:tcPr/>
          <w:p>
            <w:pPr>
              <w:pStyle w:val="Compact"/>
              <w:jc w:val="left"/>
            </w:pPr>
            <w:r>
              <w:t xml:space="preserve">IAI Registration No.</w:t>
            </w:r>
          </w:p>
        </w:tc>
        <w:tc>
          <w:tcPr/>
          <w:p>
            <w:pPr>
              <w:pStyle w:val="Compact"/>
              <w:jc w:val="left"/>
            </w:pPr>
            <w:r>
              <w:t xml:space="preserve">IAI-JKT-2019-004521</w:t>
            </w:r>
          </w:p>
        </w:tc>
      </w:tr>
      <w:tr>
        <w:tc>
          <w:tcPr/>
          <w:p>
            <w:pPr>
              <w:pStyle w:val="Compact"/>
              <w:jc w:val="left"/>
            </w:pPr>
            <w:r>
              <w:t xml:space="preserve">Professional License</w:t>
            </w:r>
          </w:p>
        </w:tc>
        <w:tc>
          <w:tcPr/>
          <w:p>
            <w:pPr>
              <w:pStyle w:val="Compact"/>
              <w:jc w:val="left"/>
            </w:pPr>
            <w:r>
              <w:t xml:space="preserve">KKA (Kartu Keahlian Arsitek) No. 04521/JKT/2019</w:t>
            </w:r>
          </w:p>
        </w:tc>
      </w:tr>
    </w:tbl>
    <w:bookmarkEnd w:id="22"/>
    <w:bookmarkStart w:id="23" w:name="scope-of-work-architect-services"/>
    <w:p>
      <w:pPr>
        <w:pStyle w:val="Heading2"/>
      </w:pPr>
      <w:r>
        <w:t xml:space="preserve">Scope of Work — Architect Services</w:t>
      </w:r>
    </w:p>
    <w:p>
      <w:pPr>
        <w:pStyle w:val="FirstParagraph"/>
      </w:pPr>
      <w:r>
        <w:t xml:space="preserve">This Purchase Order is issued by PT Nusantara Development Group to engage PT Arsitek Cipta Karya Indonesia and its designated Architect for the complete architectural design, planning, and consultation services for the</w:t>
      </w:r>
      <w:r>
        <w:t xml:space="preserve"> </w:t>
      </w:r>
      <w:r>
        <w:rPr>
          <w:bCs/>
          <w:b/>
        </w:rPr>
        <w:t xml:space="preserve">Nusantara Riverside Residential Tower</w:t>
      </w:r>
      <w:r>
        <w:t xml:space="preserve">, a 32-storey mixed-use development located in the Kemayoran district of Indonesia Jakarta. The Architect shall deliver all design documentation in compliance with the Indonesian Building Code (Peraturan Pemerintah No. 16 Tahun 2021), the local spatial planning regulations of the DKI Jakarta Provincial Government, and the applicable standards of the Indonesian Institute of Architects (IAI).</w:t>
      </w:r>
    </w:p>
    <w:bookmarkEnd w:id="23"/>
    <w:bookmarkStart w:id="24" w:name="line-items-architect-services-breakdown"/>
    <w:p>
      <w:pPr>
        <w:pStyle w:val="Heading2"/>
      </w:pPr>
      <w:r>
        <w:t xml:space="preserve">Line Items — Architect Services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Architect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Feasibility Study and Site Analysis for the Kemayoran plot, Indonesia Jakarta (including topographic survey review, zoning compliance check, and environmental impact preliminary assessment)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2</w:t>
            </w:r>
          </w:p>
        </w:tc>
        <w:tc>
          <w:tcPr/>
          <w:p>
            <w:pPr>
              <w:pStyle w:val="Compact"/>
              <w:jc w:val="left"/>
            </w:pPr>
            <w:r>
              <w:t xml:space="preserve">Conceptual Design Phase — Architect to produce massing studies, preliminary floor plans, 3D visualisations, and material palette for the 32-storey tower and podium</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220,000,000</w:t>
            </w:r>
          </w:p>
        </w:tc>
        <w:tc>
          <w:tcPr/>
          <w:p>
            <w:pPr>
              <w:pStyle w:val="Compact"/>
              <w:jc w:val="left"/>
            </w:pPr>
            <w:r>
              <w:t xml:space="preserve">220,000,000</w:t>
            </w:r>
          </w:p>
        </w:tc>
      </w:tr>
      <w:tr>
        <w:tc>
          <w:tcPr/>
          <w:p>
            <w:pPr>
              <w:pStyle w:val="Compact"/>
              <w:jc w:val="left"/>
            </w:pPr>
            <w:r>
              <w:t xml:space="preserve">3</w:t>
            </w:r>
          </w:p>
        </w:tc>
        <w:tc>
          <w:tcPr/>
          <w:p>
            <w:pPr>
              <w:pStyle w:val="Compact"/>
              <w:jc w:val="left"/>
            </w:pPr>
            <w:r>
              <w:t xml:space="preserve">Schematic Design and Design Development — Detailed architectural drawings, structural coordination, MEP integration, and interior layout for all 32 floors plus basement parking (2 levels)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450,000,000</w:t>
            </w:r>
          </w:p>
        </w:tc>
        <w:tc>
          <w:tcPr/>
          <w:p>
            <w:pPr>
              <w:pStyle w:val="Compact"/>
              <w:jc w:val="left"/>
            </w:pPr>
            <w:r>
              <w:t xml:space="preserve">450,000,000</w:t>
            </w:r>
          </w:p>
        </w:tc>
      </w:tr>
      <w:tr>
        <w:tc>
          <w:tcPr/>
          <w:p>
            <w:pPr>
              <w:pStyle w:val="Compact"/>
              <w:jc w:val="left"/>
            </w:pPr>
            <w:r>
              <w:t xml:space="preserve">4</w:t>
            </w:r>
          </w:p>
        </w:tc>
        <w:tc>
          <w:tcPr/>
          <w:p>
            <w:pPr>
              <w:pStyle w:val="Compact"/>
              <w:jc w:val="left"/>
            </w:pPr>
            <w:r>
              <w:t xml:space="preserve">Construction Documentation — Full set of working drawings, specifications, and BOQ (Bill of Quantities) for submission to the Indonesia Jakarta Building Permits Office (Dinas Cipta Karya dan Tata Ruang)</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380,000,000</w:t>
            </w:r>
          </w:p>
        </w:tc>
        <w:tc>
          <w:tcPr/>
          <w:p>
            <w:pPr>
              <w:pStyle w:val="Compact"/>
              <w:jc w:val="left"/>
            </w:pPr>
            <w:r>
              <w:t xml:space="preserve">380,000,000</w:t>
            </w:r>
          </w:p>
        </w:tc>
      </w:tr>
      <w:tr>
        <w:tc>
          <w:tcPr/>
          <w:p>
            <w:pPr>
              <w:pStyle w:val="Compact"/>
              <w:jc w:val="left"/>
            </w:pPr>
            <w:r>
              <w:t xml:space="preserve">5</w:t>
            </w:r>
          </w:p>
        </w:tc>
        <w:tc>
          <w:tcPr/>
          <w:p>
            <w:pPr>
              <w:pStyle w:val="Compact"/>
              <w:jc w:val="left"/>
            </w:pPr>
            <w:r>
              <w:t xml:space="preserve">Permitting and Regulatory Liaison — Architect to coordinate all submissions, revisions, and approvals with the DKI Jakarta municipal authorities, including PBG (Persetujuan Bangunan Gedung) processing</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6</w:t>
            </w:r>
          </w:p>
        </w:tc>
        <w:tc>
          <w:tcPr/>
          <w:p>
            <w:pPr>
              <w:pStyle w:val="Compact"/>
              <w:jc w:val="left"/>
            </w:pPr>
            <w:r>
              <w:t xml:space="preserve">Construction Phase Supervision — On-site Architect supervision, weekly progress inspections, RFIs (Requests for Information) management, and as-built documentation for the full construction period (estimated 24 months)</w:t>
            </w:r>
          </w:p>
        </w:tc>
        <w:tc>
          <w:tcPr/>
          <w:p>
            <w:pPr>
              <w:pStyle w:val="Compact"/>
              <w:jc w:val="left"/>
            </w:pPr>
            <w:r>
              <w:t xml:space="preserve">Month</w:t>
            </w:r>
          </w:p>
        </w:tc>
        <w:tc>
          <w:tcPr/>
          <w:p>
            <w:pPr>
              <w:pStyle w:val="Compact"/>
              <w:jc w:val="left"/>
            </w:pPr>
            <w:r>
              <w:t xml:space="preserve">24</w:t>
            </w:r>
          </w:p>
        </w:tc>
        <w:tc>
          <w:tcPr/>
          <w:p>
            <w:pPr>
              <w:pStyle w:val="Compact"/>
              <w:jc w:val="left"/>
            </w:pPr>
            <w:r>
              <w:t xml:space="preserve">45,000,000</w:t>
            </w:r>
          </w:p>
        </w:tc>
        <w:tc>
          <w:tcPr/>
          <w:p>
            <w:pPr>
              <w:pStyle w:val="Compact"/>
              <w:jc w:val="left"/>
            </w:pPr>
            <w:r>
              <w:t xml:space="preserve">1,080,000,000</w:t>
            </w:r>
          </w:p>
        </w:tc>
      </w:tr>
      <w:tr>
        <w:tc>
          <w:tcPr/>
          <w:p>
            <w:pPr>
              <w:pStyle w:val="Compact"/>
              <w:jc w:val="left"/>
            </w:pPr>
            <w:r>
              <w:t xml:space="preserve">7</w:t>
            </w:r>
          </w:p>
        </w:tc>
        <w:tc>
          <w:tcPr/>
          <w:p>
            <w:pPr>
              <w:pStyle w:val="Compact"/>
              <w:jc w:val="left"/>
            </w:pPr>
            <w:r>
              <w:t xml:space="preserve">Interior Design Consultation — Architect to provide interior design direction for lobby, amenity floors, and sample unit (Unit 3201)</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150,000,000</w:t>
            </w:r>
          </w:p>
        </w:tc>
        <w:tc>
          <w:tcPr/>
          <w:p>
            <w:pPr>
              <w:pStyle w:val="Compact"/>
              <w:jc w:val="left"/>
            </w:pPr>
            <w:r>
              <w:t xml:space="preserve">150,000,000</w:t>
            </w:r>
          </w:p>
        </w:tc>
      </w:tr>
      <w:tr>
        <w:tc>
          <w:tcPr/>
          <w:p>
            <w:pPr>
              <w:pStyle w:val="Compact"/>
              <w:jc w:val="left"/>
            </w:pPr>
            <w:r>
              <w:t xml:space="preserve">8</w:t>
            </w:r>
          </w:p>
        </w:tc>
        <w:tc>
          <w:tcPr/>
          <w:p>
            <w:pPr>
              <w:pStyle w:val="Compact"/>
              <w:jc w:val="left"/>
            </w:pPr>
            <w:r>
              <w:t xml:space="preserve">Final Handover and As-Built Documentation — Complete as-built drawing set, O&amp;M manuals coordination, and final certification support for the Indonesia Jakarta project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95,000,000</w:t>
            </w:r>
          </w:p>
        </w:tc>
        <w:tc>
          <w:tcPr/>
          <w:p>
            <w:pPr>
              <w:pStyle w:val="Compact"/>
              <w:jc w:val="left"/>
            </w:pPr>
            <w:r>
              <w:t xml:space="preserve">95,000,000</w:t>
            </w:r>
          </w:p>
        </w:tc>
      </w:tr>
      <w:tr>
        <w:tc>
          <w:tcPr>
            <w:gridSpan w:val="5"/>
          </w:tcPr>
          <w:p>
            <w:pPr>
              <w:pStyle w:val="Compact"/>
              <w:jc w:val="right"/>
            </w:pPr>
            <w:r>
              <w:t xml:space="preserve">Subtotal</w:t>
            </w:r>
          </w:p>
        </w:tc>
        <w:tc>
          <w:tcPr/>
          <w:p>
            <w:pPr>
              <w:pStyle w:val="Compact"/>
              <w:jc w:val="left"/>
            </w:pPr>
            <w:r>
              <w:t xml:space="preserve">2,580,000,000</w:t>
            </w:r>
          </w:p>
        </w:tc>
      </w:tr>
      <w:tr>
        <w:tc>
          <w:tcPr>
            <w:gridSpan w:val="5"/>
          </w:tcPr>
          <w:p>
            <w:pPr>
              <w:pStyle w:val="Compact"/>
              <w:jc w:val="right"/>
            </w:pPr>
            <w:r>
              <w:t xml:space="preserve">VAT (PPN) 11%</w:t>
            </w:r>
          </w:p>
        </w:tc>
        <w:tc>
          <w:tcPr/>
          <w:p>
            <w:pPr>
              <w:pStyle w:val="Compact"/>
              <w:jc w:val="left"/>
            </w:pPr>
            <w:r>
              <w:t xml:space="preserve">283,800,000</w:t>
            </w:r>
          </w:p>
        </w:tc>
      </w:tr>
      <w:tr>
        <w:tc>
          <w:tcPr>
            <w:gridSpan w:val="5"/>
          </w:tcPr>
          <w:p>
            <w:pPr>
              <w:pStyle w:val="Compact"/>
              <w:jc w:val="right"/>
            </w:pPr>
            <w:r>
              <w:t xml:space="preserve">PPh 23 (Withholding Tax) 1%</w:t>
            </w:r>
          </w:p>
        </w:tc>
        <w:tc>
          <w:tcPr/>
          <w:p>
            <w:pPr>
              <w:pStyle w:val="Compact"/>
              <w:jc w:val="left"/>
            </w:pPr>
            <w:r>
              <w:t xml:space="preserve">(25,800,000)</w:t>
            </w:r>
          </w:p>
        </w:tc>
      </w:tr>
      <w:tr>
        <w:tc>
          <w:tcPr>
            <w:gridSpan w:val="5"/>
          </w:tcPr>
          <w:p>
            <w:pPr>
              <w:pStyle w:val="Compact"/>
              <w:jc w:val="right"/>
            </w:pPr>
            <w:r>
              <w:t xml:space="preserve">NET TOTAL PAYABLE (IDR)</w:t>
            </w:r>
          </w:p>
        </w:tc>
        <w:tc>
          <w:tcPr/>
          <w:p>
            <w:pPr>
              <w:pStyle w:val="Compact"/>
              <w:jc w:val="left"/>
            </w:pPr>
            <w:r>
              <w:t xml:space="preserve">2,838,000,000</w:t>
            </w:r>
          </w:p>
        </w:tc>
      </w:tr>
    </w:tbl>
    <w:bookmarkEnd w:id="24"/>
    <w:bookmarkStart w:id="25" w:name="payment-schedule"/>
    <w:p>
      <w:pPr>
        <w:pStyle w:val="Heading2"/>
      </w:pPr>
      <w:r>
        <w:t xml:space="preserve">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(IDR)</w:t>
            </w:r>
          </w:p>
        </w:tc>
        <w:tc>
          <w:tcPr/>
          <w:p>
            <w:pPr>
              <w:pStyle w:val="Compact"/>
              <w:jc w:val="left"/>
            </w:pPr>
            <w:r>
              <w:t xml:space="preserve">Trigger</w:t>
            </w:r>
          </w:p>
        </w:tc>
      </w:tr>
      <w:tr>
        <w:tc>
          <w:tcPr/>
          <w:p>
            <w:pPr>
              <w:pStyle w:val="Compact"/>
              <w:jc w:val="left"/>
            </w:pPr>
            <w:r>
              <w:t xml:space="preserve">Advance Payment</w:t>
            </w:r>
          </w:p>
        </w:tc>
        <w:tc>
          <w:tcPr/>
          <w:p>
            <w:pPr>
              <w:pStyle w:val="Compact"/>
              <w:jc w:val="left"/>
            </w:pPr>
            <w:r>
              <w:t xml:space="preserve">15%</w:t>
            </w:r>
          </w:p>
        </w:tc>
        <w:tc>
          <w:tcPr/>
          <w:p>
            <w:pPr>
              <w:pStyle w:val="Compact"/>
              <w:jc w:val="left"/>
            </w:pPr>
            <w:r>
              <w:t xml:space="preserve">425,700,000</w:t>
            </w:r>
          </w:p>
        </w:tc>
        <w:tc>
          <w:tcPr/>
          <w:p>
            <w:pPr>
              <w:pStyle w:val="Compact"/>
              <w:jc w:val="left"/>
            </w:pPr>
            <w:r>
              <w:t xml:space="preserve">Upon signing of this Purchase Order and submission of performance bond</w:t>
            </w:r>
          </w:p>
        </w:tc>
      </w:tr>
      <w:tr>
        <w:tc>
          <w:tcPr/>
          <w:p>
            <w:pPr>
              <w:pStyle w:val="Compact"/>
              <w:jc w:val="left"/>
            </w:pPr>
            <w:r>
              <w:t xml:space="preserve">Conceptual Design Approval</w:t>
            </w:r>
          </w:p>
        </w:tc>
        <w:tc>
          <w:tcPr/>
          <w:p>
            <w:pPr>
              <w:pStyle w:val="Compact"/>
              <w:jc w:val="left"/>
            </w:pPr>
            <w:r>
              <w:t xml:space="preserve">15%</w:t>
            </w:r>
          </w:p>
        </w:tc>
        <w:tc>
          <w:tcPr/>
          <w:p>
            <w:pPr>
              <w:pStyle w:val="Compact"/>
              <w:jc w:val="left"/>
            </w:pPr>
            <w:r>
              <w:t xml:space="preserve">425,700,000</w:t>
            </w:r>
          </w:p>
        </w:tc>
        <w:tc>
          <w:tcPr/>
          <w:p>
            <w:pPr>
              <w:pStyle w:val="Compact"/>
              <w:jc w:val="left"/>
            </w:pPr>
            <w:r>
              <w:t xml:space="preserve">Written approval of Concept Design by Buyer</w:t>
            </w:r>
          </w:p>
        </w:tc>
      </w:tr>
      <w:tr>
        <w:tc>
          <w:tcPr/>
          <w:p>
            <w:pPr>
              <w:pStyle w:val="Compact"/>
              <w:jc w:val="left"/>
            </w:pPr>
            <w:r>
              <w:t xml:space="preserve">Design Development Approval</w:t>
            </w:r>
          </w:p>
        </w:tc>
        <w:tc>
          <w:tcPr/>
          <w:p>
            <w:pPr>
              <w:pStyle w:val="Compact"/>
              <w:jc w:val="left"/>
            </w:pPr>
            <w:r>
              <w:t xml:space="preserve">20%</w:t>
            </w:r>
          </w:p>
        </w:tc>
        <w:tc>
          <w:tcPr/>
          <w:p>
            <w:pPr>
              <w:pStyle w:val="Compact"/>
              <w:jc w:val="left"/>
            </w:pPr>
            <w:r>
              <w:t xml:space="preserve">567,600,000</w:t>
            </w:r>
          </w:p>
        </w:tc>
        <w:tc>
          <w:tcPr/>
          <w:p>
            <w:pPr>
              <w:pStyle w:val="Compact"/>
              <w:jc w:val="left"/>
            </w:pPr>
            <w:r>
              <w:t xml:space="preserve">Written approval of Schematic and DD drawings</w:t>
            </w:r>
          </w:p>
        </w:tc>
      </w:tr>
      <w:tr>
        <w:tc>
          <w:tcPr/>
          <w:p>
            <w:pPr>
              <w:pStyle w:val="Compact"/>
              <w:jc w:val="left"/>
            </w:pPr>
            <w:r>
              <w:t xml:space="preserve">Construction Docs &amp; Permit Issued</w:t>
            </w:r>
          </w:p>
        </w:tc>
        <w:tc>
          <w:tcPr/>
          <w:p>
            <w:pPr>
              <w:pStyle w:val="Compact"/>
              <w:jc w:val="left"/>
            </w:pPr>
            <w:r>
              <w:t xml:space="preserve">20%</w:t>
            </w:r>
          </w:p>
        </w:tc>
        <w:tc>
          <w:tcPr/>
          <w:p>
            <w:pPr>
              <w:pStyle w:val="Compact"/>
              <w:jc w:val="left"/>
            </w:pPr>
            <w:r>
              <w:t xml:space="preserve">567,600,000</w:t>
            </w:r>
          </w:p>
        </w:tc>
        <w:tc>
          <w:tcPr/>
          <w:p>
            <w:pPr>
              <w:pStyle w:val="Compact"/>
              <w:jc w:val="left"/>
            </w:pPr>
            <w:r>
              <w:t xml:space="preserve">Issuance of PBG by Indonesia Jakarta authorities</w:t>
            </w:r>
          </w:p>
        </w:tc>
      </w:tr>
      <w:tr>
        <w:tc>
          <w:tcPr/>
          <w:p>
            <w:pPr>
              <w:pStyle w:val="Compact"/>
              <w:jc w:val="left"/>
            </w:pPr>
            <w:r>
              <w:t xml:space="preserve">Construction Supervision (monthly)</w:t>
            </w:r>
          </w:p>
        </w:tc>
        <w:tc>
          <w:tcPr/>
          <w:p>
            <w:pPr>
              <w:pStyle w:val="Compact"/>
              <w:jc w:val="left"/>
            </w:pPr>
            <w:r>
              <w:t xml:space="preserve">25%</w:t>
            </w:r>
          </w:p>
        </w:tc>
        <w:tc>
          <w:tcPr/>
          <w:p>
            <w:pPr>
              <w:pStyle w:val="Compact"/>
              <w:jc w:val="left"/>
            </w:pPr>
            <w:r>
              <w:t xml:space="preserve">709,500,000</w:t>
            </w:r>
          </w:p>
        </w:tc>
        <w:tc>
          <w:tcPr/>
          <w:p>
            <w:pPr>
              <w:pStyle w:val="Compact"/>
              <w:jc w:val="left"/>
            </w:pPr>
            <w:r>
              <w:t xml:space="preserve">Monthly progress certification by Architect and Buyer's project manager</w:t>
            </w:r>
          </w:p>
        </w:tc>
      </w:tr>
      <w:tr>
        <w:tc>
          <w:tcPr/>
          <w:p>
            <w:pPr>
              <w:pStyle w:val="Compact"/>
              <w:jc w:val="left"/>
            </w:pPr>
            <w:r>
              <w:t xml:space="preserve">Final Handover</w:t>
            </w:r>
          </w:p>
        </w:tc>
        <w:tc>
          <w:tcPr/>
          <w:p>
            <w:pPr>
              <w:pStyle w:val="Compact"/>
              <w:jc w:val="left"/>
            </w:pPr>
            <w:r>
              <w:t xml:space="preserve">5%</w:t>
            </w:r>
          </w:p>
        </w:tc>
        <w:tc>
          <w:tcPr/>
          <w:p>
            <w:pPr>
              <w:pStyle w:val="Compact"/>
              <w:jc w:val="left"/>
            </w:pPr>
            <w:r>
              <w:t xml:space="preserve">141,900,000</w:t>
            </w:r>
          </w:p>
        </w:tc>
        <w:tc>
          <w:tcPr/>
          <w:p>
            <w:pPr>
              <w:pStyle w:val="Compact"/>
              <w:jc w:val="left"/>
            </w:pPr>
            <w:r>
              <w:t xml:space="preserve">Submission of complete as-built set and project close-out</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constitutes a binding agreement between PT Nusantara Development Group (Buyer) and PT Arsitek Cipta Karya Indonesia (Architect / Vendor) for the architectural services described herein, to be executed in Indonesia Jakarta.</w:t>
      </w:r>
    </w:p>
    <w:p>
      <w:pPr>
        <w:numPr>
          <w:ilvl w:val="0"/>
          <w:numId w:val="1001"/>
        </w:numPr>
        <w:pStyle w:val="Compact"/>
      </w:pPr>
      <w:r>
        <w:t xml:space="preserve">The Architect warrants that all design deliverables shall comply with the Indonesian Building Code, the DKI Jakarta spatial planning regulations (RTRW DKI Jakarta 2035), fire safety standards (SNI 03-1745-2000), and accessibility requirements (UU No. 8 Tahun 2016 regarding Persons with Disabilities).</w:t>
      </w:r>
    </w:p>
    <w:p>
      <w:pPr>
        <w:numPr>
          <w:ilvl w:val="0"/>
          <w:numId w:val="1001"/>
        </w:numPr>
        <w:pStyle w:val="Compact"/>
      </w:pPr>
      <w:r>
        <w:t xml:space="preserve">The Architect shall maintain professional indemnity insurance with a minimum coverage of IDR 5,000,000,000 for the duration of the project in Indonesia Jakarta.</w:t>
      </w:r>
    </w:p>
    <w:p>
      <w:pPr>
        <w:numPr>
          <w:ilvl w:val="0"/>
          <w:numId w:val="1001"/>
        </w:numPr>
        <w:pStyle w:val="Compact"/>
      </w:pPr>
      <w:r>
        <w:t xml:space="preserve">All intellectual property rights in the final design documents, drawings, and specifications shall vest in the Buyer upon full payment. The Architect retains the right to use the project for portfolio and IAI award submissions with prior written consent.</w:t>
      </w:r>
    </w:p>
    <w:p>
      <w:pPr>
        <w:numPr>
          <w:ilvl w:val="0"/>
          <w:numId w:val="1001"/>
        </w:numPr>
        <w:pStyle w:val="Compact"/>
      </w:pPr>
      <w:r>
        <w:t xml:space="preserve">The Architect shall not subcontract any portion of the architectural design work without prior written approval from the Buyer. Any approved subcontractor must hold valid KKA registration in Indonesia Jakarta.</w:t>
      </w:r>
    </w:p>
    <w:p>
      <w:pPr>
        <w:numPr>
          <w:ilvl w:val="0"/>
          <w:numId w:val="1001"/>
        </w:numPr>
        <w:pStyle w:val="Compact"/>
      </w:pPr>
      <w:r>
        <w:t xml:space="preserve">Disputes arising from this Purchase Order shall be resolved through mediation under the rules of the Indonesian Institute of Architects (IAI) Jakarta Chapter, and failing mediation, through arbitration at the BANI (Badan Arbitrase Nasional Indonesia) in Jakarta.</w:t>
      </w:r>
    </w:p>
    <w:p>
      <w:pPr>
        <w:numPr>
          <w:ilvl w:val="0"/>
          <w:numId w:val="1001"/>
        </w:numPr>
        <w:pStyle w:val="Compact"/>
      </w:pPr>
      <w:r>
        <w:t xml:space="preserve">This Purchase Order is governed by the laws of the Republic of Indonesia. All notices shall be sent to the addresses stated above in Indonesia Jakarta.</w:t>
      </w:r>
    </w:p>
    <w:p>
      <w:pPr>
        <w:numPr>
          <w:ilvl w:val="0"/>
          <w:numId w:val="1001"/>
        </w:numPr>
        <w:pStyle w:val="Compact"/>
      </w:pPr>
      <w:r>
        <w:t xml:space="preserve">The Architect shall submit a detailed project schedule within 10 business days of this Purchase Order's effective date, aligned with the Buyer's target groundbreaking date of 1 September 2025.</w:t>
      </w:r>
    </w:p>
    <w:p>
      <w:pPr>
        <w:numPr>
          <w:ilvl w:val="0"/>
          <w:numId w:val="1001"/>
        </w:numPr>
        <w:pStyle w:val="Compact"/>
      </w:pPr>
      <w:r>
        <w:t xml:space="preserve">Any variation or change order to the scope of Architect services must be documented in a written Change Order signed by both parties before execution.</w:t>
      </w:r>
    </w:p>
    <w:p>
      <w:pPr>
        <w:numPr>
          <w:ilvl w:val="0"/>
          <w:numId w:val="1001"/>
        </w:numPr>
        <w:pStyle w:val="Compact"/>
      </w:pPr>
      <w:r>
        <w:t xml:space="preserve">Payment shall be made via bank transfer to the account designated by the Architect. Invoices must reference this Purchase Order number (PO-NDG-2025-04782) and include a valid PPN tax invoice (Faktur Pajak).</w:t>
      </w:r>
    </w:p>
    <w:bookmarkEnd w:id="26"/>
    <w:bookmarkStart w:id="27" w:name="acceptance-and-signatures"/>
    <w:p>
      <w:pPr>
        <w:pStyle w:val="Heading2"/>
      </w:pPr>
      <w:r>
        <w:t xml:space="preserve">Acceptance and Signatures</w:t>
      </w:r>
    </w:p>
    <w:p>
      <w:pPr>
        <w:pStyle w:val="FirstParagraph"/>
      </w:pPr>
      <w:r>
        <w:rPr>
          <w:bCs/>
          <w:b/>
        </w:rPr>
        <w:t xml:space="preserve">For and on behalf of PT Nusantara Development Group (Buyer)</w:t>
      </w:r>
    </w:p>
    <w:p>
      <w:pPr>
        <w:pStyle w:val="BodyText"/>
      </w:pPr>
      <w:r>
        <w:rPr>
          <w:bCs/>
          <w:b/>
        </w:rPr>
        <w:t xml:space="preserve">Name:</w:t>
      </w:r>
      <w:r>
        <w:t xml:space="preserve"> </w:t>
      </w:r>
      <w:r>
        <w:t xml:space="preserve">Dr. Hendra Wijaya</w:t>
      </w:r>
      <w:r>
        <w:br/>
      </w:r>
      <w:r>
        <w:rPr>
          <w:bCs/>
          <w:b/>
        </w:rPr>
        <w:t xml:space="preserve">Title:</w:t>
      </w:r>
      <w:r>
        <w:t xml:space="preserve"> </w:t>
      </w:r>
      <w:r>
        <w:t xml:space="preserve">Director of Procurement &amp; Development</w:t>
      </w:r>
      <w:r>
        <w:br/>
      </w:r>
      <w:r>
        <w:rPr>
          <w:bCs/>
          <w:b/>
        </w:rPr>
        <w:t xml:space="preserve">Date:</w:t>
      </w:r>
      <w:r>
        <w:t xml:space="preserve"> </w:t>
      </w:r>
      <w:r>
        <w:t xml:space="preserve">_______________</w:t>
      </w:r>
    </w:p>
    <w:p>
      <w:pPr>
        <w:pStyle w:val="BodyText"/>
      </w:pPr>
      <w:r>
        <w:rPr>
          <w:bCs/>
          <w:b/>
        </w:rPr>
        <w:t xml:space="preserve">For and on behalf of PT Arsitek Cipta Karya Indonesia (Architect)</w:t>
      </w:r>
    </w:p>
    <w:p>
      <w:pPr>
        <w:pStyle w:val="BodyText"/>
      </w:pPr>
      <w:r>
        <w:rPr>
          <w:bCs/>
          <w:b/>
        </w:rPr>
        <w:t xml:space="preserve">Name:</w:t>
      </w:r>
      <w:r>
        <w:t xml:space="preserve"> </w:t>
      </w:r>
      <w:r>
        <w:t xml:space="preserve">Ir. Budi Santoso, IAI</w:t>
      </w:r>
      <w:r>
        <w:br/>
      </w:r>
      <w:r>
        <w:rPr>
          <w:bCs/>
          <w:b/>
        </w:rPr>
        <w:t xml:space="preserve">Title:</w:t>
      </w:r>
      <w:r>
        <w:t xml:space="preserve"> </w:t>
      </w:r>
      <w:r>
        <w:t xml:space="preserve">Principal Architect / Managing Director</w:t>
      </w:r>
      <w:r>
        <w:br/>
      </w:r>
      <w:r>
        <w:rPr>
          <w:bCs/>
          <w:b/>
        </w:rPr>
        <w:t xml:space="preserve">Date:</w:t>
      </w:r>
      <w:r>
        <w:t xml:space="preserve"> </w:t>
      </w:r>
      <w:r>
        <w:t xml:space="preserve">_______________</w:t>
      </w:r>
    </w:p>
    <w:p>
      <w:pPr>
        <w:pStyle w:val="BodyText"/>
      </w:pPr>
      <w:r>
        <w:t xml:space="preserve">This Purchase Order (PO-NDG-2025-04782) is issued for Architect services in Indonesia Jakarta. All parties acknowledge that this document, once signed, forms a legally binding contract under Indonesian law. The Architect confirms acceptance of all terms, conditions, and the scope of work as described. This Purchase Order is valid for 30 calendar days from the date of issue. For any amendments, a formal Change Order must be executed. — End of Document —</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Indonesia Jakarta</dc:title>
  <dc:creator/>
  <dc:language>en</dc:language>
  <cp:keywords/>
  <dcterms:created xsi:type="dcterms:W3CDTF">2026-10-10T06:26:41Z</dcterms:created>
  <dcterms:modified xsi:type="dcterms:W3CDTF">2026-10-10T06:26:41Z</dcterms:modified>
</cp:coreProperties>
</file>

<file path=docProps/custom.xml><?xml version="1.0" encoding="utf-8"?>
<Properties xmlns="http://schemas.openxmlformats.org/officeDocument/2006/custom-properties" xmlns:vt="http://schemas.openxmlformats.org/officeDocument/2006/docPropsVTypes"/>
</file>