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Architectural Design &amp; Consulting Services</w:t>
      </w:r>
    </w:p>
    <w:p>
      <w:pPr>
        <w:pStyle w:val="BodyText"/>
      </w:pPr>
      <w:r>
        <w:t xml:space="preserve">Issued in Iran Tehran – Islamic Republic of Iran</w:t>
      </w:r>
    </w:p>
    <w:bookmarkEnd w:id="20"/>
    <w:p>
      <w:pPr>
        <w:pStyle w:val="BodyText"/>
      </w:pPr>
      <w:r>
        <w:rPr>
          <w:bCs/>
          <w:b/>
        </w:rPr>
        <w:t xml:space="preserve">Purchase Order No.:</w:t>
      </w:r>
      <w:r>
        <w:t xml:space="preserve"> </w:t>
      </w:r>
      <w:r>
        <w:t xml:space="preserve">PO-IRN-TEH-2025-04782</w:t>
      </w:r>
      <w:r>
        <w:br/>
      </w:r>
      <w:r>
        <w:rPr>
          <w:bCs/>
          <w:b/>
        </w:rPr>
        <w:t xml:space="preserve">Date of Issue:</w:t>
      </w:r>
      <w:r>
        <w:t xml:space="preserve"> </w:t>
      </w:r>
      <w:r>
        <w:t xml:space="preserve">15 Farvardin 1404 (April 5, 2025)</w:t>
      </w:r>
      <w:r>
        <w:br/>
      </w:r>
      <w:r>
        <w:rPr>
          <w:bCs/>
          <w:b/>
        </w:rPr>
        <w:t xml:space="preserve">Valid Until:</w:t>
      </w:r>
      <w:r>
        <w:t xml:space="preserve"> </w:t>
      </w:r>
      <w:r>
        <w:t xml:space="preserve">15 Khordad 1404 (June 5, 2025)</w:t>
      </w:r>
    </w:p>
    <w:p>
      <w:pPr>
        <w:pStyle w:val="BodyText"/>
      </w:pPr>
      <w:r>
        <w:rPr>
          <w:bCs/>
          <w:b/>
        </w:rPr>
        <w:t xml:space="preserve">Project Reference:</w:t>
      </w:r>
      <w:r>
        <w:t xml:space="preserve"> </w:t>
      </w:r>
      <w:r>
        <w:t xml:space="preserve">ARCH-TEH-2025-119</w:t>
      </w:r>
      <w:r>
        <w:br/>
      </w:r>
      <w:r>
        <w:rPr>
          <w:bCs/>
          <w:b/>
        </w:rPr>
        <w:t xml:space="preserve">Payment Terms:</w:t>
      </w:r>
      <w:r>
        <w:t xml:space="preserve"> </w:t>
      </w:r>
      <w:r>
        <w:t xml:space="preserve">Net 30 Days</w:t>
      </w:r>
      <w:r>
        <w:br/>
      </w:r>
      <w:r>
        <w:rPr>
          <w:bCs/>
          <w:b/>
        </w:rPr>
        <w:t xml:space="preserve">Currency:</w:t>
      </w:r>
      <w:r>
        <w:t xml:space="preserve"> </w:t>
      </w:r>
      <w:r>
        <w:t xml:space="preserve">Iranian Rial (IRR)</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Tehran Metropolitan Development Corporation (TMDC)</w:t>
            </w:r>
          </w:p>
        </w:tc>
      </w:tr>
      <w:tr>
        <w:tc>
          <w:tcPr/>
          <w:p>
            <w:pPr>
              <w:pStyle w:val="Compact"/>
              <w:jc w:val="left"/>
            </w:pPr>
            <w:r>
              <w:t xml:space="preserve">Address</w:t>
            </w:r>
          </w:p>
        </w:tc>
        <w:tc>
          <w:tcPr/>
          <w:p>
            <w:pPr>
              <w:pStyle w:val="Compact"/>
              <w:jc w:val="left"/>
            </w:pPr>
            <w:r>
              <w:t xml:space="preserve">142 Vali-Asr Street, 17th Floor, Tehran, Iran – Postal Code: 14176-35821</w:t>
            </w:r>
          </w:p>
        </w:tc>
      </w:tr>
      <w:tr>
        <w:tc>
          <w:tcPr/>
          <w:p>
            <w:pPr>
              <w:pStyle w:val="Compact"/>
              <w:jc w:val="left"/>
            </w:pPr>
            <w:r>
              <w:t xml:space="preserve">Registration No.</w:t>
            </w:r>
          </w:p>
        </w:tc>
        <w:tc>
          <w:tcPr/>
          <w:p>
            <w:pPr>
              <w:pStyle w:val="Compact"/>
              <w:jc w:val="left"/>
            </w:pPr>
            <w:r>
              <w:t xml:space="preserve">IR-TEH-REG-2019-0045872</w:t>
            </w:r>
          </w:p>
        </w:tc>
      </w:tr>
      <w:tr>
        <w:tc>
          <w:tcPr/>
          <w:p>
            <w:pPr>
              <w:pStyle w:val="Compact"/>
              <w:jc w:val="left"/>
            </w:pPr>
            <w:r>
              <w:t xml:space="preserve">Contact Person</w:t>
            </w:r>
          </w:p>
        </w:tc>
        <w:tc>
          <w:tcPr/>
          <w:p>
            <w:pPr>
              <w:pStyle w:val="Compact"/>
              <w:jc w:val="left"/>
            </w:pPr>
            <w:r>
              <w:t xml:space="preserve">Mr. Reza Karimi, Procurement Director</w:t>
            </w:r>
          </w:p>
        </w:tc>
      </w:tr>
      <w:tr>
        <w:tc>
          <w:tcPr/>
          <w:p>
            <w:pPr>
              <w:pStyle w:val="Compact"/>
              <w:jc w:val="left"/>
            </w:pPr>
            <w:r>
              <w:t xml:space="preserve">Email / Phone</w:t>
            </w:r>
          </w:p>
        </w:tc>
        <w:tc>
          <w:tcPr/>
          <w:p>
            <w:pPr>
              <w:pStyle w:val="Compact"/>
              <w:jc w:val="left"/>
            </w:pPr>
            <w:r>
              <w:t xml:space="preserve">procurement@tmdc-iran.ir / +98-21-8876-4421</w:t>
            </w:r>
          </w:p>
        </w:tc>
      </w:tr>
    </w:tbl>
    <w:p>
      <w:pPr>
        <w:pStyle w:val="BodyText"/>
      </w:pPr>
      <w:r>
        <w:t xml:space="preserve">2. Supplier / Service Provider (Architect)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Atelier Noor – Architectural Design Studio</w:t>
            </w:r>
          </w:p>
        </w:tc>
      </w:tr>
      <w:tr>
        <w:tc>
          <w:tcPr/>
          <w:p>
            <w:pPr>
              <w:pStyle w:val="Compact"/>
              <w:jc w:val="left"/>
            </w:pPr>
            <w:r>
              <w:t xml:space="preserve">Lead Architect</w:t>
            </w:r>
          </w:p>
        </w:tc>
        <w:tc>
          <w:tcPr/>
          <w:p>
            <w:pPr>
              <w:pStyle w:val="Compact"/>
              <w:jc w:val="left"/>
            </w:pPr>
            <w:r>
              <w:t xml:space="preserve">Dr. Saeed Mohammadi, Licensed Architect (Iranian Architects Association License No. IR-ARC-2003-7741)</w:t>
            </w:r>
          </w:p>
        </w:tc>
      </w:tr>
      <w:tr>
        <w:tc>
          <w:tcPr/>
          <w:p>
            <w:pPr>
              <w:pStyle w:val="Compact"/>
              <w:jc w:val="left"/>
            </w:pPr>
            <w:r>
              <w:t xml:space="preserve">Address</w:t>
            </w:r>
          </w:p>
        </w:tc>
        <w:tc>
          <w:tcPr/>
          <w:p>
            <w:pPr>
              <w:pStyle w:val="Compact"/>
              <w:jc w:val="left"/>
            </w:pPr>
            <w:r>
              <w:t xml:space="preserve">88 Ferdowsi Avenue, Unit 4B, North Khorasgan, Tehran, Iran – Postal Code: 19837-44512</w:t>
            </w:r>
          </w:p>
        </w:tc>
      </w:tr>
      <w:tr>
        <w:tc>
          <w:tcPr/>
          <w:p>
            <w:pPr>
              <w:pStyle w:val="Compact"/>
              <w:jc w:val="left"/>
            </w:pPr>
            <w:r>
              <w:t xml:space="preserve">Registration No.</w:t>
            </w:r>
          </w:p>
        </w:tc>
        <w:tc>
          <w:tcPr/>
          <w:p>
            <w:pPr>
              <w:pStyle w:val="Compact"/>
              <w:jc w:val="left"/>
            </w:pPr>
            <w:r>
              <w:t xml:space="preserve">IR-TEH-BIZ-2015-0098234</w:t>
            </w:r>
          </w:p>
        </w:tc>
      </w:tr>
      <w:tr>
        <w:tc>
          <w:tcPr/>
          <w:p>
            <w:pPr>
              <w:pStyle w:val="Compact"/>
              <w:jc w:val="left"/>
            </w:pPr>
            <w:r>
              <w:t xml:space="preserve">Contact Person</w:t>
            </w:r>
          </w:p>
        </w:tc>
        <w:tc>
          <w:tcPr/>
          <w:p>
            <w:pPr>
              <w:pStyle w:val="Compact"/>
              <w:jc w:val="left"/>
            </w:pPr>
            <w:r>
              <w:t xml:space="preserve">Dr. Saeed Mohammadi, Principal Architect</w:t>
            </w:r>
          </w:p>
        </w:tc>
      </w:tr>
      <w:tr>
        <w:tc>
          <w:tcPr/>
          <w:p>
            <w:pPr>
              <w:pStyle w:val="Compact"/>
              <w:jc w:val="left"/>
            </w:pPr>
            <w:r>
              <w:t xml:space="preserve">Email / Phone</w:t>
            </w:r>
          </w:p>
        </w:tc>
        <w:tc>
          <w:tcPr/>
          <w:p>
            <w:pPr>
              <w:pStyle w:val="Compact"/>
              <w:jc w:val="left"/>
            </w:pPr>
            <w:r>
              <w:t xml:space="preserve">info@ateliernoor-iran.ir / +98-21-2645-8890</w:t>
            </w:r>
          </w:p>
        </w:tc>
      </w:tr>
    </w:tbl>
    <w:p>
      <w:pPr>
        <w:pStyle w:val="BodyText"/>
      </w:pPr>
      <w:r>
        <w:t xml:space="preserve">3. Scope of Architectural Services</w:t>
      </w:r>
    </w:p>
    <w:p>
      <w:pPr>
        <w:pStyle w:val="BodyText"/>
      </w:pPr>
      <w:r>
        <w:t xml:space="preserve">This Purchase Order is issued by Tehran Metropolitan Development Corporation to engage the services of Atelier Noor, a licensed Architect firm based in Iran Tehran, for the comprehensive architectural design, planning, and consulting of the</w:t>
      </w:r>
      <w:r>
        <w:t xml:space="preserve"> </w:t>
      </w:r>
      <w:r>
        <w:rPr>
          <w:bCs/>
          <w:b/>
        </w:rPr>
        <w:t xml:space="preserve">Tehran Cultural &amp; Community Center Project</w:t>
      </w:r>
      <w:r>
        <w:t xml:space="preserve"> </w:t>
      </w:r>
      <w:r>
        <w:t xml:space="preserve">located in the Enghelab District of Tehran. The Architect shall deliver all design documentation, structural coordination drawings, interior design concepts, and regulatory compliance reports in accordance with the Iranian Building Code (Standard 2800) and the Tehran Municipality zoning regulations.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Conceptual Design &amp; Feasibility Study for the Tehran Cultural Center (12,000 sqm)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Schematic Design Development &amp; 3D Visualization (Architect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720,000,000</w:t>
            </w:r>
          </w:p>
        </w:tc>
        <w:tc>
          <w:tcPr/>
          <w:p>
            <w:pPr>
              <w:pStyle w:val="Compact"/>
              <w:jc w:val="left"/>
            </w:pPr>
            <w:r>
              <w:t xml:space="preserve">720,000,000</w:t>
            </w:r>
          </w:p>
        </w:tc>
      </w:tr>
      <w:tr>
        <w:tc>
          <w:tcPr/>
          <w:p>
            <w:pPr>
              <w:pStyle w:val="Compact"/>
              <w:jc w:val="left"/>
            </w:pPr>
            <w:r>
              <w:t xml:space="preserve">03</w:t>
            </w:r>
          </w:p>
        </w:tc>
        <w:tc>
          <w:tcPr/>
          <w:p>
            <w:pPr>
              <w:pStyle w:val="Compact"/>
              <w:jc w:val="left"/>
            </w:pPr>
            <w:r>
              <w:t xml:space="preserve">Detailed Architectural Drawings &amp; Construction Documentation (Iran Tehran municipal submission set)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1,150,000,000</w:t>
            </w:r>
          </w:p>
        </w:tc>
        <w:tc>
          <w:tcPr/>
          <w:p>
            <w:pPr>
              <w:pStyle w:val="Compact"/>
              <w:jc w:val="left"/>
            </w:pPr>
            <w:r>
              <w:t xml:space="preserve">1,150,000,000</w:t>
            </w:r>
          </w:p>
        </w:tc>
      </w:tr>
      <w:tr>
        <w:tc>
          <w:tcPr/>
          <w:p>
            <w:pPr>
              <w:pStyle w:val="Compact"/>
              <w:jc w:val="left"/>
            </w:pPr>
            <w:r>
              <w:t xml:space="preserve">04</w:t>
            </w:r>
          </w:p>
        </w:tc>
        <w:tc>
          <w:tcPr/>
          <w:p>
            <w:pPr>
              <w:pStyle w:val="Compact"/>
              <w:jc w:val="left"/>
            </w:pPr>
            <w:r>
              <w:t xml:space="preserve">Interior Design &amp; Landscape Architecture Coordination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640,000,000</w:t>
            </w:r>
          </w:p>
        </w:tc>
        <w:tc>
          <w:tcPr/>
          <w:p>
            <w:pPr>
              <w:pStyle w:val="Compact"/>
              <w:jc w:val="left"/>
            </w:pPr>
            <w:r>
              <w:t xml:space="preserve">640,000,000</w:t>
            </w:r>
          </w:p>
        </w:tc>
      </w:tr>
      <w:tr>
        <w:tc>
          <w:tcPr/>
          <w:p>
            <w:pPr>
              <w:pStyle w:val="Compact"/>
              <w:jc w:val="left"/>
            </w:pPr>
            <w:r>
              <w:t xml:space="preserve">05</w:t>
            </w:r>
          </w:p>
        </w:tc>
        <w:tc>
          <w:tcPr/>
          <w:p>
            <w:pPr>
              <w:pStyle w:val="Compact"/>
              <w:jc w:val="left"/>
            </w:pPr>
            <w:r>
              <w:t xml:space="preserve">Construction Phase Architectural Supervision &amp; Site Visits (18 months, Tehran site)</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95,000,000</w:t>
            </w:r>
          </w:p>
        </w:tc>
        <w:tc>
          <w:tcPr/>
          <w:p>
            <w:pPr>
              <w:pStyle w:val="Compact"/>
              <w:jc w:val="left"/>
            </w:pPr>
            <w:r>
              <w:t xml:space="preserve">1,710,000,000</w:t>
            </w:r>
          </w:p>
        </w:tc>
      </w:tr>
      <w:tr>
        <w:tc>
          <w:tcPr/>
          <w:p>
            <w:pPr>
              <w:pStyle w:val="Compact"/>
              <w:jc w:val="left"/>
            </w:pPr>
            <w:r>
              <w:t xml:space="preserve">06</w:t>
            </w:r>
          </w:p>
        </w:tc>
        <w:tc>
          <w:tcPr/>
          <w:p>
            <w:pPr>
              <w:pStyle w:val="Compact"/>
              <w:jc w:val="left"/>
            </w:pPr>
            <w:r>
              <w:t xml:space="preserve">Regulatory Permitting Support &amp; Iran Tehran Municipality Liaison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320,000,000</w:t>
            </w:r>
          </w:p>
        </w:tc>
        <w:tc>
          <w:tcPr/>
          <w:p>
            <w:pPr>
              <w:pStyle w:val="Compact"/>
              <w:jc w:val="left"/>
            </w:pPr>
            <w:r>
              <w:t xml:space="preserve">320,000,000</w:t>
            </w:r>
          </w:p>
        </w:tc>
      </w:tr>
      <w:tr>
        <w:tc>
          <w:tcPr>
            <w:gridSpan w:val="5"/>
          </w:tcPr>
          <w:p>
            <w:pPr>
              <w:pStyle w:val="Compact"/>
              <w:jc w:val="left"/>
            </w:pPr>
            <w:r>
              <w:t xml:space="preserve">TOTAL CONTRACT VALUE</w:t>
            </w:r>
          </w:p>
        </w:tc>
        <w:tc>
          <w:tcPr/>
          <w:p>
            <w:pPr>
              <w:pStyle w:val="Compact"/>
              <w:jc w:val="left"/>
            </w:pPr>
            <w:r>
              <w:t xml:space="preserve">5,025,000,000 IRR</w:t>
            </w:r>
          </w:p>
        </w:tc>
      </w:tr>
    </w:tbl>
    <w:p>
      <w:pPr>
        <w:pStyle w:val="BodyText"/>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(IRR)</w:t>
            </w:r>
          </w:p>
        </w:tc>
        <w:tc>
          <w:tcPr/>
          <w:p>
            <w:pPr>
              <w:pStyle w:val="Compact"/>
              <w:jc w:val="left"/>
            </w:pPr>
            <w:r>
              <w:t xml:space="preserve">Due Date</w:t>
            </w:r>
          </w:p>
        </w:tc>
      </w:tr>
      <w:tr>
        <w:tc>
          <w:tcPr/>
          <w:p>
            <w:pPr>
              <w:pStyle w:val="Compact"/>
              <w:jc w:val="left"/>
            </w:pPr>
            <w:r>
              <w:t xml:space="preserve">Upon Purchase Order acceptance by the Architect</w:t>
            </w:r>
          </w:p>
        </w:tc>
        <w:tc>
          <w:tcPr/>
          <w:p>
            <w:pPr>
              <w:pStyle w:val="Compact"/>
              <w:jc w:val="left"/>
            </w:pPr>
            <w:r>
              <w:t xml:space="preserve">15%</w:t>
            </w:r>
          </w:p>
        </w:tc>
        <w:tc>
          <w:tcPr/>
          <w:p>
            <w:pPr>
              <w:pStyle w:val="Compact"/>
              <w:jc w:val="left"/>
            </w:pPr>
            <w:r>
              <w:t xml:space="preserve">753,750,000</w:t>
            </w:r>
          </w:p>
        </w:tc>
        <w:tc>
          <w:tcPr/>
          <w:p>
            <w:pPr>
              <w:pStyle w:val="Compact"/>
              <w:jc w:val="left"/>
            </w:pPr>
            <w:r>
              <w:t xml:space="preserve">Within 10 business days</w:t>
            </w:r>
          </w:p>
        </w:tc>
      </w:tr>
      <w:tr>
        <w:tc>
          <w:tcPr/>
          <w:p>
            <w:pPr>
              <w:pStyle w:val="Compact"/>
              <w:jc w:val="left"/>
            </w:pPr>
            <w:r>
              <w:t xml:space="preserve">Upon approval of Conceptual Design</w:t>
            </w:r>
          </w:p>
        </w:tc>
        <w:tc>
          <w:tcPr/>
          <w:p>
            <w:pPr>
              <w:pStyle w:val="Compact"/>
              <w:jc w:val="left"/>
            </w:pPr>
            <w:r>
              <w:t xml:space="preserve">20%</w:t>
            </w:r>
          </w:p>
        </w:tc>
        <w:tc>
          <w:tcPr/>
          <w:p>
            <w:pPr>
              <w:pStyle w:val="Compact"/>
              <w:jc w:val="left"/>
            </w:pPr>
            <w:r>
              <w:t xml:space="preserve">1,005,000,000</w:t>
            </w:r>
          </w:p>
        </w:tc>
        <w:tc>
          <w:tcPr/>
          <w:p>
            <w:pPr>
              <w:pStyle w:val="Compact"/>
              <w:jc w:val="left"/>
            </w:pPr>
            <w:r>
              <w:t xml:space="preserve">Month 3</w:t>
            </w:r>
          </w:p>
        </w:tc>
      </w:tr>
      <w:tr>
        <w:tc>
          <w:tcPr/>
          <w:p>
            <w:pPr>
              <w:pStyle w:val="Compact"/>
              <w:jc w:val="left"/>
            </w:pPr>
            <w:r>
              <w:t xml:space="preserve">Upon delivery of Schematic Design package</w:t>
            </w:r>
          </w:p>
        </w:tc>
        <w:tc>
          <w:tcPr/>
          <w:p>
            <w:pPr>
              <w:pStyle w:val="Compact"/>
              <w:jc w:val="left"/>
            </w:pPr>
            <w:r>
              <w:t xml:space="preserve">20%</w:t>
            </w:r>
          </w:p>
        </w:tc>
        <w:tc>
          <w:tcPr/>
          <w:p>
            <w:pPr>
              <w:pStyle w:val="Compact"/>
              <w:jc w:val="left"/>
            </w:pPr>
            <w:r>
              <w:t xml:space="preserve">1,005,000,000</w:t>
            </w:r>
          </w:p>
        </w:tc>
        <w:tc>
          <w:tcPr/>
          <w:p>
            <w:pPr>
              <w:pStyle w:val="Compact"/>
              <w:jc w:val="left"/>
            </w:pPr>
            <w:r>
              <w:t xml:space="preserve">Month 6</w:t>
            </w:r>
          </w:p>
        </w:tc>
      </w:tr>
      <w:tr>
        <w:tc>
          <w:tcPr/>
          <w:p>
            <w:pPr>
              <w:pStyle w:val="Compact"/>
              <w:jc w:val="left"/>
            </w:pPr>
            <w:r>
              <w:t xml:space="preserve">Upon submission of full Construction Documentation to Tehran Municipality</w:t>
            </w:r>
          </w:p>
        </w:tc>
        <w:tc>
          <w:tcPr/>
          <w:p>
            <w:pPr>
              <w:pStyle w:val="Compact"/>
              <w:jc w:val="left"/>
            </w:pPr>
            <w:r>
              <w:t xml:space="preserve">25%</w:t>
            </w:r>
          </w:p>
        </w:tc>
        <w:tc>
          <w:tcPr/>
          <w:p>
            <w:pPr>
              <w:pStyle w:val="Compact"/>
              <w:jc w:val="left"/>
            </w:pPr>
            <w:r>
              <w:t xml:space="preserve">1,256,250,000</w:t>
            </w:r>
          </w:p>
        </w:tc>
        <w:tc>
          <w:tcPr/>
          <w:p>
            <w:pPr>
              <w:pStyle w:val="Compact"/>
              <w:jc w:val="left"/>
            </w:pPr>
            <w:r>
              <w:t xml:space="preserve">Month 10</w:t>
            </w:r>
          </w:p>
        </w:tc>
      </w:tr>
      <w:tr>
        <w:tc>
          <w:tcPr/>
          <w:p>
            <w:pPr>
              <w:pStyle w:val="Compact"/>
              <w:jc w:val="left"/>
            </w:pPr>
            <w:r>
              <w:t xml:space="preserve">Upon completion of Construction Supervision (Month 28)</w:t>
            </w:r>
          </w:p>
        </w:tc>
        <w:tc>
          <w:tcPr/>
          <w:p>
            <w:pPr>
              <w:pStyle w:val="Compact"/>
              <w:jc w:val="left"/>
            </w:pPr>
            <w:r>
              <w:t xml:space="preserve">20%</w:t>
            </w:r>
          </w:p>
        </w:tc>
        <w:tc>
          <w:tcPr/>
          <w:p>
            <w:pPr>
              <w:pStyle w:val="Compact"/>
              <w:jc w:val="left"/>
            </w:pPr>
            <w:r>
              <w:t xml:space="preserve">1,005,000,000</w:t>
            </w:r>
          </w:p>
        </w:tc>
        <w:tc>
          <w:tcPr/>
          <w:p>
            <w:pPr>
              <w:pStyle w:val="Compact"/>
              <w:jc w:val="left"/>
            </w:pPr>
            <w:r>
              <w:t xml:space="preserve">Month 28</w:t>
            </w:r>
          </w:p>
        </w:tc>
      </w:tr>
    </w:tbl>
    <w:p>
      <w:pPr>
        <w:pStyle w:val="BodyText"/>
      </w:pPr>
      <w:r>
        <w:t xml:space="preserve">6. Terms and Conditions</w:t>
      </w:r>
    </w:p>
    <w:p>
      <w:pPr>
        <w:numPr>
          <w:ilvl w:val="0"/>
          <w:numId w:val="1001"/>
        </w:numPr>
        <w:pStyle w:val="Compact"/>
      </w:pPr>
      <w:r>
        <w:t xml:space="preserve">This Purchase Order shall be governed by and interpreted in accordance with the Civil Code of the Islamic Republic of Iran and applicable commercial regulations in Iran Tehran.</w:t>
      </w:r>
    </w:p>
    <w:p>
      <w:pPr>
        <w:numPr>
          <w:ilvl w:val="0"/>
          <w:numId w:val="1001"/>
        </w:numPr>
        <w:pStyle w:val="Compact"/>
      </w:pPr>
      <w:r>
        <w:t xml:space="preserve">The Architect warrants that all deliverables shall comply with the Iranian National Building Code, Tehran Municipality zoning bylaws, and seismic design standards (Standard 2800) applicable to the Tehran metropolitan area.</w:t>
      </w:r>
    </w:p>
    <w:p>
      <w:pPr>
        <w:numPr>
          <w:ilvl w:val="0"/>
          <w:numId w:val="1001"/>
        </w:numPr>
        <w:pStyle w:val="Compact"/>
      </w:pPr>
      <w:r>
        <w:t xml:space="preserve">The Architect shall maintain professional liability insurance with a minimum coverage of 5,000,000,000 IRR for the duration of the project.</w:t>
      </w:r>
    </w:p>
    <w:p>
      <w:pPr>
        <w:numPr>
          <w:ilvl w:val="0"/>
          <w:numId w:val="1001"/>
        </w:numPr>
        <w:pStyle w:val="Compact"/>
      </w:pPr>
      <w:r>
        <w:t xml:space="preserve">All intellectual property rights in the architectural drawings, designs, and documentation produced under this Purchase Order shall vest in the Purchasing Party upon full payment.</w:t>
      </w:r>
    </w:p>
    <w:p>
      <w:pPr>
        <w:numPr>
          <w:ilvl w:val="0"/>
          <w:numId w:val="1001"/>
        </w:numPr>
        <w:pStyle w:val="Compact"/>
      </w:pPr>
      <w:r>
        <w:t xml:space="preserve">The Architect shall not subcontract any portion of the architectural services without prior written consent from the Purchasing Party.</w:t>
      </w:r>
    </w:p>
    <w:p>
      <w:pPr>
        <w:numPr>
          <w:ilvl w:val="0"/>
          <w:numId w:val="1001"/>
        </w:numPr>
        <w:pStyle w:val="Compact"/>
      </w:pPr>
      <w:r>
        <w:t xml:space="preserve">Any disputes arising from this Purchase Order shall be resolved through arbitration in Tehran, Iran, in accordance with the rules of the Tehran International Arbitration Center.</w:t>
      </w:r>
    </w:p>
    <w:p>
      <w:pPr>
        <w:numPr>
          <w:ilvl w:val="0"/>
          <w:numId w:val="1001"/>
        </w:numPr>
        <w:pStyle w:val="Compact"/>
      </w:pPr>
      <w:r>
        <w:t xml:space="preserve">The Architect shall submit weekly progress reports to the Purchasing Party and shall attend bi-weekly coordination meetings at the Tehran project site.</w:t>
      </w:r>
    </w:p>
    <w:p>
      <w:pPr>
        <w:numPr>
          <w:ilvl w:val="0"/>
          <w:numId w:val="1001"/>
        </w:numPr>
        <w:pStyle w:val="Compact"/>
      </w:pPr>
      <w:r>
        <w:t xml:space="preserve">Force majeure events, including but not limited to natural disasters affecting Iran Tehran, shall be addressed per Article 239 of the Iranian Civil Code.</w:t>
      </w:r>
    </w:p>
    <w:p>
      <w:pPr>
        <w:numPr>
          <w:ilvl w:val="0"/>
          <w:numId w:val="1001"/>
        </w:numPr>
        <w:pStyle w:val="Compact"/>
      </w:pPr>
      <w:r>
        <w:t xml:space="preserve">This Purchase Order is valid for a period of 60 calendar days from the date of issue. Failure to accept within this period shall render this document null and void.</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Architectural Services to be performed in Iran Tehran. This document constitutes a binding agreement between the Purchasing Party and the Architect firm.</w:t>
      </w:r>
    </w:p>
    <w:p>
      <w:pPr>
        <w:pStyle w:val="BodyText"/>
      </w:pPr>
      <w:r>
        <w:rPr>
          <w:bCs/>
          <w:b/>
        </w:rPr>
        <w:t xml:space="preserve">For the Purchasing Party:</w:t>
      </w:r>
      <w:r>
        <w:br/>
      </w:r>
      <w:r>
        <w:t xml:space="preserve">Tehran Metropolitan Development Corporation</w:t>
      </w:r>
    </w:p>
    <w:p>
      <w:pPr>
        <w:pStyle w:val="BodyText"/>
      </w:pPr>
      <w:r>
        <w:t xml:space="preserve">Mr. Reza Karimi</w:t>
      </w:r>
      <w:r>
        <w:br/>
      </w:r>
      <w:r>
        <w:t xml:space="preserve">Procurement Director</w:t>
      </w:r>
      <w:r>
        <w:br/>
      </w:r>
      <w:r>
        <w:t xml:space="preserve">Date: _______________</w:t>
      </w:r>
    </w:p>
    <w:p>
      <w:pPr>
        <w:pStyle w:val="BodyText"/>
      </w:pPr>
      <w:r>
        <w:rPr>
          <w:bCs/>
          <w:b/>
        </w:rPr>
        <w:t xml:space="preserve">For the Architect / Service Provider:</w:t>
      </w:r>
      <w:r>
        <w:br/>
      </w:r>
      <w:r>
        <w:t xml:space="preserve">Atelier Noor – Architectural Design Studio</w:t>
      </w:r>
    </w:p>
    <w:p>
      <w:pPr>
        <w:pStyle w:val="BodyText"/>
      </w:pPr>
      <w:r>
        <w:t xml:space="preserve">Dr. Saeed Mohammadi</w:t>
      </w:r>
      <w:r>
        <w:br/>
      </w:r>
      <w:r>
        <w:t xml:space="preserve">Principal Architect</w:t>
      </w:r>
      <w:r>
        <w:br/>
      </w:r>
      <w:r>
        <w:t xml:space="preserve">Date: _______________</w:t>
      </w:r>
    </w:p>
    <w:p>
      <w:pPr>
        <w:pStyle w:val="BodyText"/>
      </w:pPr>
      <w:r>
        <w:t xml:space="preserve">This Purchase Order (PO-IRN-TEH-2025-04782) was prepared and issued in Iran Tehran. All communications regarding this Purchase Order shall be directed to the Procurement Department of TMDC, Tehran, Iran. This document is valid only when bearing the official company seal and authorized signatures of both parties. Unauthorized reproduction or modification of this Purchase Order is strictly prohibited under Iranian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Iran Tehran</dc:title>
  <dc:creator/>
  <dc:language>en</dc:language>
  <cp:keywords/>
  <dcterms:created xsi:type="dcterms:W3CDTF">2026-10-10T05:43:52Z</dcterms:created>
  <dcterms:modified xsi:type="dcterms:W3CDTF">2026-10-10T05:43:52Z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