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Architectural Design &amp; Consultation Services</w:t>
      </w:r>
    </w:p>
    <w:p>
      <w:pPr>
        <w:pStyle w:val="BodyText"/>
      </w:pPr>
      <w:r>
        <w:t xml:space="preserve">Baghdad, Republic of Iraq</w:t>
      </w:r>
    </w:p>
    <w:p>
      <w:pPr>
        <w:pStyle w:val="BodyText"/>
      </w:pPr>
      <w:r>
        <w:t xml:space="preserve">PO-IRQ-BGD-2025-0472</w:t>
      </w:r>
    </w:p>
    <w:bookmarkEnd w:id="20"/>
    <w:p>
      <w:pPr>
        <w:pStyle w:val="BodyText"/>
      </w:pPr>
      <w:r>
        <w:rPr>
          <w:bCs/>
          <w:b/>
        </w:rPr>
        <w:t xml:space="preserve">Purchase Order No.:</w:t>
      </w:r>
      <w:r>
        <w:t xml:space="preserve"> </w:t>
      </w:r>
      <w:r>
        <w:t xml:space="preserve">PO-IRQ-BGD-2025-0472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BGD-RES-2025-118</w:t>
      </w:r>
      <w:r>
        <w:br/>
      </w:r>
      <w:r>
        <w:rPr>
          <w:bCs/>
          <w:b/>
        </w:rPr>
        <w:t xml:space="preserve">Location:</w:t>
      </w:r>
      <w:r>
        <w:t xml:space="preserve"> </w:t>
      </w:r>
      <w:r>
        <w:t xml:space="preserve">Al-Mansour District, Baghdad, Iraq</w:t>
      </w:r>
      <w:r>
        <w:br/>
      </w:r>
      <w:r>
        <w:rPr>
          <w:bCs/>
          <w:b/>
        </w:rPr>
        <w:t xml:space="preserve">Currency:</w:t>
      </w:r>
      <w:r>
        <w:t xml:space="preserve"> </w:t>
      </w:r>
      <w:r>
        <w:t xml:space="preserve">Iraqi Dinar (IQD) / USD</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Tigris Euphrates Development Group Co. Ltd.</w:t>
            </w:r>
          </w:p>
        </w:tc>
        <w:tc>
          <w:tcPr/>
          <w:p>
            <w:pPr>
              <w:pStyle w:val="Compact"/>
              <w:jc w:val="left"/>
            </w:pPr>
            <w:r>
              <w:rPr>
                <w:bCs/>
                <w:b/>
              </w:rPr>
              <w:t xml:space="preserve">Registration No.:</w:t>
            </w:r>
            <w:r>
              <w:t xml:space="preserve"> </w:t>
            </w:r>
            <w:r>
              <w:t xml:space="preserve">IQ-COM-2019-44821</w:t>
            </w:r>
          </w:p>
        </w:tc>
      </w:tr>
      <w:tr>
        <w:tc>
          <w:tcPr/>
          <w:p>
            <w:pPr>
              <w:pStyle w:val="Compact"/>
              <w:jc w:val="left"/>
            </w:pPr>
            <w:r>
              <w:rPr>
                <w:bCs/>
                <w:b/>
              </w:rPr>
              <w:t xml:space="preserve">Address:</w:t>
            </w:r>
            <w:r>
              <w:t xml:space="preserve"> </w:t>
            </w:r>
            <w:r>
              <w:t xml:space="preserve">142 Al-Jumhuriya Street, Al-Karada, Baghdad, Iraq</w:t>
            </w:r>
          </w:p>
        </w:tc>
        <w:tc>
          <w:tcPr/>
          <w:p>
            <w:pPr>
              <w:pStyle w:val="Compact"/>
              <w:jc w:val="left"/>
            </w:pPr>
            <w:r>
              <w:rPr>
                <w:bCs/>
                <w:b/>
              </w:rPr>
              <w:t xml:space="preserve">Tax ID:</w:t>
            </w:r>
            <w:r>
              <w:t xml:space="preserve"> </w:t>
            </w:r>
            <w:r>
              <w:t xml:space="preserve">014-882-3371</w:t>
            </w:r>
          </w:p>
        </w:tc>
      </w:tr>
      <w:tr>
        <w:tc>
          <w:tcPr/>
          <w:p>
            <w:pPr>
              <w:pStyle w:val="Compact"/>
              <w:jc w:val="left"/>
            </w:pPr>
            <w:r>
              <w:rPr>
                <w:bCs/>
                <w:b/>
              </w:rPr>
              <w:t xml:space="preserve">Contact Person:</w:t>
            </w:r>
            <w:r>
              <w:t xml:space="preserve"> </w:t>
            </w:r>
            <w:r>
              <w:t xml:space="preserve">Eng. Khalid Al-Rashid, Project Director</w:t>
            </w:r>
          </w:p>
        </w:tc>
        <w:tc>
          <w:tcPr/>
          <w:p>
            <w:pPr>
              <w:pStyle w:val="Compact"/>
              <w:jc w:val="left"/>
            </w:pPr>
            <w:r>
              <w:rPr>
                <w:bCs/>
                <w:b/>
              </w:rPr>
              <w:t xml:space="preserve">Phone:</w:t>
            </w:r>
            <w:r>
              <w:t xml:space="preserve"> </w:t>
            </w:r>
            <w:r>
              <w:t xml:space="preserve">+964 770 445 2210</w:t>
            </w:r>
          </w:p>
        </w:tc>
      </w:tr>
      <w:tr>
        <w:tc>
          <w:tcPr/>
          <w:p>
            <w:pPr>
              <w:pStyle w:val="Compact"/>
              <w:jc w:val="left"/>
            </w:pPr>
            <w:r>
              <w:rPr>
                <w:bCs/>
                <w:b/>
              </w:rPr>
              <w:t xml:space="preserve">Email:</w:t>
            </w:r>
            <w:r>
              <w:t xml:space="preserve"> </w:t>
            </w:r>
            <w:r>
              <w:t xml:space="preserve">procurement@tigriseuphrates-dev.iq</w:t>
            </w:r>
          </w:p>
        </w:tc>
        <w:tc>
          <w:tcPr/>
          <w:p>
            <w:pPr>
              <w:pStyle w:val="Compact"/>
              <w:jc w:val="left"/>
            </w:pPr>
            <w:r>
              <w:rPr>
                <w:bCs/>
                <w:b/>
              </w:rPr>
              <w:t xml:space="preserve">Bank:</w:t>
            </w:r>
            <w:r>
              <w:t xml:space="preserve"> </w:t>
            </w:r>
            <w:r>
              <w:t xml:space="preserve">Central Bank of Iraq, Branch: Baghdad Main</w:t>
            </w:r>
          </w:p>
        </w:tc>
      </w:tr>
    </w:tbl>
    <w:bookmarkEnd w:id="21"/>
    <w:bookmarkStart w:id="22" w:name="vendor-architect-supplier"/>
    <w:p>
      <w:pPr>
        <w:pStyle w:val="Heading2"/>
      </w:pPr>
      <w:r>
        <w:t xml:space="preserve">2. Vendor / Architect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Architect Firm:</w:t>
            </w:r>
            <w:r>
              <w:t xml:space="preserve"> </w:t>
            </w:r>
            <w:r>
              <w:t xml:space="preserve">Al-Madina Architectural Design Studio</w:t>
            </w:r>
          </w:p>
        </w:tc>
        <w:tc>
          <w:tcPr/>
          <w:p>
            <w:pPr>
              <w:pStyle w:val="Compact"/>
              <w:jc w:val="left"/>
            </w:pPr>
            <w:r>
              <w:rPr>
                <w:bCs/>
                <w:b/>
              </w:rPr>
              <w:t xml:space="preserve">License No.:</w:t>
            </w:r>
            <w:r>
              <w:t xml:space="preserve"> </w:t>
            </w:r>
            <w:r>
              <w:t xml:space="preserve">IQ-ARC-2015-0093</w:t>
            </w:r>
          </w:p>
        </w:tc>
      </w:tr>
      <w:tr>
        <w:tc>
          <w:tcPr/>
          <w:p>
            <w:pPr>
              <w:pStyle w:val="Compact"/>
              <w:jc w:val="left"/>
            </w:pPr>
            <w:r>
              <w:rPr>
                <w:bCs/>
                <w:b/>
              </w:rPr>
              <w:t xml:space="preserve">Lead Architect:</w:t>
            </w:r>
            <w:r>
              <w:t xml:space="preserve"> </w:t>
            </w:r>
            <w:r>
              <w:t xml:space="preserve">Ar. Samira Al-Hussein, M.Arch, RIBA</w:t>
            </w:r>
          </w:p>
        </w:tc>
        <w:tc>
          <w:tcPr/>
          <w:p>
            <w:pPr>
              <w:pStyle w:val="Compact"/>
              <w:jc w:val="left"/>
            </w:pPr>
            <w:r>
              <w:rPr>
                <w:bCs/>
                <w:b/>
              </w:rPr>
              <w:t xml:space="preserve">Address:</w:t>
            </w:r>
            <w:r>
              <w:t xml:space="preserve"> </w:t>
            </w:r>
            <w:r>
              <w:t xml:space="preserve">28 Al-Mustansiriya Road, Al-Mansour, Baghdad, Iraq</w:t>
            </w:r>
          </w:p>
        </w:tc>
      </w:tr>
      <w:tr>
        <w:tc>
          <w:tcPr/>
          <w:p>
            <w:pPr>
              <w:pStyle w:val="Compact"/>
              <w:jc w:val="left"/>
            </w:pPr>
            <w:r>
              <w:rPr>
                <w:bCs/>
                <w:b/>
              </w:rPr>
              <w:t xml:space="preserve">Professional Registration:</w:t>
            </w:r>
            <w:r>
              <w:t xml:space="preserve"> </w:t>
            </w:r>
            <w:r>
              <w:t xml:space="preserve">Iraqi Board of Architects, Reg. No. 2015/0447</w:t>
            </w:r>
          </w:p>
        </w:tc>
        <w:tc>
          <w:tcPr/>
          <w:p>
            <w:pPr>
              <w:pStyle w:val="Compact"/>
              <w:jc w:val="left"/>
            </w:pPr>
            <w:r>
              <w:rPr>
                <w:bCs/>
                <w:b/>
              </w:rPr>
              <w:t xml:space="preserve">Phone:</w:t>
            </w:r>
            <w:r>
              <w:t xml:space="preserve"> </w:t>
            </w:r>
            <w:r>
              <w:t xml:space="preserve">+964 781 220 8834</w:t>
            </w:r>
          </w:p>
        </w:tc>
      </w:tr>
      <w:tr>
        <w:tc>
          <w:tcPr/>
          <w:p>
            <w:pPr>
              <w:pStyle w:val="Compact"/>
              <w:jc w:val="left"/>
            </w:pPr>
            <w:r>
              <w:rPr>
                <w:bCs/>
                <w:b/>
              </w:rPr>
              <w:t xml:space="preserve">Email:</w:t>
            </w:r>
            <w:r>
              <w:t xml:space="preserve"> </w:t>
            </w:r>
            <w:r>
              <w:t xml:space="preserve">info@almadina-arch.iq</w:t>
            </w:r>
          </w:p>
        </w:tc>
        <w:tc>
          <w:tcPr/>
          <w:p>
            <w:pPr>
              <w:pStyle w:val="Compact"/>
              <w:jc w:val="left"/>
            </w:pPr>
            <w:r>
              <w:rPr>
                <w:bCs/>
                <w:b/>
              </w:rPr>
              <w:t xml:space="preserve">Bank:</w:t>
            </w:r>
            <w:r>
              <w:t xml:space="preserve"> </w:t>
            </w:r>
            <w:r>
              <w:t xml:space="preserve">National Bank of Iraq, A/C: 0044-7721-9903</w:t>
            </w:r>
          </w:p>
        </w:tc>
      </w:tr>
    </w:tbl>
    <w:bookmarkEnd w:id="22"/>
    <w:bookmarkStart w:id="23" w:name="X8dde47420d5ac8307dc5fcc563e18a63f997365"/>
    <w:p>
      <w:pPr>
        <w:pStyle w:val="Heading2"/>
      </w:pPr>
      <w:r>
        <w:t xml:space="preserve">3. Description of Architectural Services Ordered</w:t>
      </w:r>
    </w:p>
    <w:p>
      <w:pPr>
        <w:pStyle w:val="FirstParagraph"/>
      </w:pPr>
      <w:r>
        <w:t xml:space="preserve">This Purchase Order is issued by Tigris Euphrates Development Group Co. Ltd. to engage the services of Al-Madina Architectural Design Studio, a licensed Architect firm operating in Baghdad, Iraq, for the complete architectural design, planning, and technical consultation of a mixed-use residential and commercial development project located in the Al-Mansour District of Baghdad. The Architect shall deliver all design documentation, structural coordination drawings, and regulatory compliance reports in accordance with the Iraqi Building Code (2022 revision) and the municipal zoning regulations of the Baghdad Governorate.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Feasibility Study &amp; Site Analysis for 12,000 m² plot in Al-Mansour, Baghdad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Conceptual Architectural Design (3D renderings, massing studies, material palette)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Detailed Architectural Drawings (floor plans, elevations, sections, details) – 4 storeys + basement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Structural &amp; MEP Coordination with Licensed Iraqi Engineers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Regulatory Submission Package for Baghdad Municipality &amp; Iraqi Board of Architects approval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Construction Phase Supervision &amp; Architectural Review (18 months)</w:t>
            </w:r>
          </w:p>
        </w:tc>
        <w:tc>
          <w:tcPr/>
          <w:p>
            <w:pPr>
              <w:pStyle w:val="Compact"/>
              <w:jc w:val="left"/>
            </w:pPr>
            <w:r>
              <w:t xml:space="preserve">18</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07</w:t>
            </w:r>
          </w:p>
        </w:tc>
        <w:tc>
          <w:tcPr/>
          <w:p>
            <w:pPr>
              <w:pStyle w:val="Compact"/>
              <w:jc w:val="left"/>
            </w:pPr>
            <w:r>
              <w:t xml:space="preserve">As-Built Documentation &amp; Final Handover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GRAND TOTAL (USD)</w:t>
            </w:r>
          </w:p>
        </w:tc>
        <w:tc>
          <w:tcPr/>
          <w:p>
            <w:pPr>
              <w:pStyle w:val="Compact"/>
              <w:jc w:val="left"/>
            </w:pPr>
            <w:r>
              <w:t xml:space="preserve">132,100.00</w:t>
            </w:r>
          </w:p>
        </w:tc>
      </w:tr>
      <w:tr>
        <w:tc>
          <w:tcPr>
            <w:gridSpan w:val="5"/>
          </w:tcPr>
          <w:p>
            <w:pPr>
              <w:pStyle w:val="Compact"/>
              <w:jc w:val="right"/>
            </w:pPr>
            <w:r>
              <w:t xml:space="preserve">GRAND TOTAL (IQD at 1,320 IQD/USD)</w:t>
            </w:r>
          </w:p>
        </w:tc>
        <w:tc>
          <w:tcPr/>
          <w:p>
            <w:pPr>
              <w:pStyle w:val="Compact"/>
              <w:jc w:val="left"/>
            </w:pPr>
            <w:r>
              <w:t xml:space="preserve">174,372,000.00</w:t>
            </w:r>
          </w:p>
        </w:tc>
      </w:tr>
    </w:tbl>
    <w:bookmarkEnd w:id="23"/>
    <w:bookmarkStart w:id="24" w:name="terms-and-conditions"/>
    <w:p>
      <w:pPr>
        <w:pStyle w:val="Heading2"/>
      </w:pPr>
      <w:r>
        <w:t xml:space="preserve">4. Terms and Conditions</w:t>
      </w:r>
    </w:p>
    <w:p>
      <w:pPr>
        <w:pStyle w:val="FirstParagraph"/>
      </w:pPr>
      <w:r>
        <w:t xml:space="preserve">4.1 This Purchase Order is governed by the laws of the Republic of Iraq, specifically the Iraqi Civil Code and the Iraqi Commercial Code. Any disputes arising from this Purchase Order shall be resolved through the competent courts in Baghdad, Iraq.</w:t>
      </w:r>
    </w:p>
    <w:p>
      <w:pPr>
        <w:pStyle w:val="BodyText"/>
      </w:pPr>
      <w:r>
        <w:t xml:space="preserve">4.2 The Architect shall maintain full professional liability insurance with a minimum coverage of USD 500,000 throughout the duration of the engagement, as mandated by the Iraqi Board of Architects for all registered Architect firms operating in Baghdad.</w:t>
      </w:r>
    </w:p>
    <w:p>
      <w:pPr>
        <w:pStyle w:val="BodyText"/>
      </w:pPr>
      <w:r>
        <w:t xml:space="preserve">4.3 All architectural deliverables must comply with the Iraqi Building Code, the Baghdad Governorate Zoning Plan (2023), and the environmental standards set by the Iraqi Ministry of Environment. The Architect is responsible for obtaining all necessary municipal permits and approvals from the Baghdad Municipality.</w:t>
      </w:r>
    </w:p>
    <w:p>
      <w:pPr>
        <w:pStyle w:val="BodyText"/>
      </w:pPr>
      <w:r>
        <w:t xml:space="preserve">4.4 The Architect shall provide weekly progress reports to the Buyer's Project Director and shall attend bi-weekly coordination meetings at the project site in Al-Mansour, Baghdad, or at the Buyer's headquarters on Al-Jumhuriya Street.</w:t>
      </w:r>
    </w:p>
    <w:p>
      <w:pPr>
        <w:pStyle w:val="BodyText"/>
      </w:pPr>
      <w:r>
        <w:t xml:space="preserve">4.5 Payment shall be made in the following installments: 20% upon signing and commencement, 30% upon approval of detailed architectural drawings, 30% upon completion of regulatory submissions, and 20% upon final handover and as-built documentation. Payments shall be processed via bank transfer to the account specified in Section 2.</w:t>
      </w:r>
    </w:p>
    <w:p>
      <w:pPr>
        <w:pStyle w:val="BodyText"/>
      </w:pPr>
      <w:r>
        <w:t xml:space="preserve">4.6 The Architect warrants that all designs are original and do not infringe upon any intellectual property rights. Any third-party claims arising from the Architect's work shall be the sole responsibility of the Architect firm.</w:t>
      </w:r>
    </w:p>
    <w:p>
      <w:pPr>
        <w:pStyle w:val="BodyText"/>
      </w:pPr>
      <w:r>
        <w:t xml:space="preserve">4.7 Force Majeure: Neither party shall be liable for delays caused by events beyond reasonable control, including but not limited to civil unrest, government sanctions, or natural disasters affecting the Baghdad metropolitan area.</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Commencement &amp; Site Survey</w:t>
            </w:r>
          </w:p>
        </w:tc>
        <w:tc>
          <w:tcPr/>
          <w:p>
            <w:pPr>
              <w:pStyle w:val="Compact"/>
              <w:jc w:val="left"/>
            </w:pPr>
            <w:r>
              <w:t xml:space="preserve">1 July 2025</w:t>
            </w:r>
          </w:p>
        </w:tc>
      </w:tr>
      <w:tr>
        <w:tc>
          <w:tcPr/>
          <w:p>
            <w:pPr>
              <w:pStyle w:val="Compact"/>
              <w:jc w:val="left"/>
            </w:pPr>
            <w:r>
              <w:t xml:space="preserve">Conceptual Design Approval</w:t>
            </w:r>
          </w:p>
        </w:tc>
        <w:tc>
          <w:tcPr/>
          <w:p>
            <w:pPr>
              <w:pStyle w:val="Compact"/>
              <w:jc w:val="left"/>
            </w:pPr>
            <w:r>
              <w:t xml:space="preserve">30 August 2025</w:t>
            </w:r>
          </w:p>
        </w:tc>
      </w:tr>
      <w:tr>
        <w:tc>
          <w:tcPr/>
          <w:p>
            <w:pPr>
              <w:pStyle w:val="Compact"/>
              <w:jc w:val="left"/>
            </w:pPr>
            <w:r>
              <w:t xml:space="preserve">Detailed Drawings Submission</w:t>
            </w:r>
          </w:p>
        </w:tc>
        <w:tc>
          <w:tcPr/>
          <w:p>
            <w:pPr>
              <w:pStyle w:val="Compact"/>
              <w:jc w:val="left"/>
            </w:pPr>
            <w:r>
              <w:t xml:space="preserve">30 November 2025</w:t>
            </w:r>
          </w:p>
        </w:tc>
      </w:tr>
      <w:tr>
        <w:tc>
          <w:tcPr/>
          <w:p>
            <w:pPr>
              <w:pStyle w:val="Compact"/>
              <w:jc w:val="left"/>
            </w:pPr>
            <w:r>
              <w:t xml:space="preserve">Municipal Permit Approval (Baghdad)</w:t>
            </w:r>
          </w:p>
        </w:tc>
        <w:tc>
          <w:tcPr/>
          <w:p>
            <w:pPr>
              <w:pStyle w:val="Compact"/>
              <w:jc w:val="left"/>
            </w:pPr>
            <w:r>
              <w:t xml:space="preserve">31 January 2026</w:t>
            </w:r>
          </w:p>
        </w:tc>
      </w:tr>
      <w:tr>
        <w:tc>
          <w:tcPr/>
          <w:p>
            <w:pPr>
              <w:pStyle w:val="Compact"/>
              <w:jc w:val="left"/>
            </w:pPr>
            <w:r>
              <w:t xml:space="preserve">Construction Supervision Period</w:t>
            </w:r>
          </w:p>
        </w:tc>
        <w:tc>
          <w:tcPr/>
          <w:p>
            <w:pPr>
              <w:pStyle w:val="Compact"/>
              <w:jc w:val="left"/>
            </w:pPr>
            <w:r>
              <w:t xml:space="preserve">1 February 2026 – 31 July 2027</w:t>
            </w:r>
          </w:p>
        </w:tc>
      </w:tr>
      <w:tr>
        <w:tc>
          <w:tcPr/>
          <w:p>
            <w:pPr>
              <w:pStyle w:val="Compact"/>
              <w:jc w:val="left"/>
            </w:pPr>
            <w:r>
              <w:t xml:space="preserve">Final Handover &amp; As-Built Report</w:t>
            </w:r>
          </w:p>
        </w:tc>
        <w:tc>
          <w:tcPr/>
          <w:p>
            <w:pPr>
              <w:pStyle w:val="Compact"/>
              <w:jc w:val="left"/>
            </w:pPr>
            <w:r>
              <w:t xml:space="preserve">30 August 2027</w:t>
            </w:r>
          </w:p>
        </w:tc>
      </w:tr>
    </w:tbl>
    <w:bookmarkEnd w:id="25"/>
    <w:p>
      <w:pPr>
        <w:pStyle w:val="BodyText"/>
      </w:pPr>
      <w:r>
        <w:rPr>
          <w:bCs/>
          <w:b/>
        </w:rPr>
        <w:t xml:space="preserve">NOTE:</w:t>
      </w:r>
      <w:r>
        <w:t xml:space="preserve"> </w:t>
      </w:r>
      <w:r>
        <w:t xml:space="preserve">This Purchase Order is subject to final approval by the Board of Directors of Tigris Euphrates Development Group Co. Ltd. and the issuance of a valid building permit by the Baghdad Municipality. The Architect must hold a current, valid license from the Iraqi Board of Architects for the entire duration of this contract. All communications regarding this Purchase Order shall be conducted in English and Arabic, with the English version prevailing in case of any discrepancy.</w:t>
      </w:r>
    </w:p>
    <w:p>
      <w:pPr>
        <w:pStyle w:val="BodyText"/>
      </w:pPr>
      <w:r>
        <w:rPr>
          <w:bCs/>
          <w:b/>
        </w:rPr>
        <w:t xml:space="preserve">For and on behalf of the Buyer:</w:t>
      </w:r>
    </w:p>
    <w:p>
      <w:pPr>
        <w:pStyle w:val="BodyText"/>
      </w:pPr>
      <w:r>
        <w:t xml:space="preserve">Tigris Euphrates Development Group Co. Ltd.</w:t>
      </w:r>
    </w:p>
    <w:p>
      <w:pPr>
        <w:pStyle w:val="BodyText"/>
      </w:pPr>
      <w:r>
        <w:t xml:space="preserve">Eng. Khalid Al-Rashid</w:t>
      </w:r>
      <w:r>
        <w:br/>
      </w:r>
      <w:r>
        <w:t xml:space="preserve">Project Director</w:t>
      </w:r>
      <w:r>
        <w:br/>
      </w:r>
      <w:r>
        <w:t xml:space="preserve">Date: _______________</w:t>
      </w:r>
    </w:p>
    <w:p>
      <w:pPr>
        <w:pStyle w:val="BodyText"/>
      </w:pPr>
      <w:r>
        <w:rPr>
          <w:bCs/>
          <w:b/>
        </w:rPr>
        <w:t xml:space="preserve">For and on behalf of the Architect:</w:t>
      </w:r>
    </w:p>
    <w:p>
      <w:pPr>
        <w:pStyle w:val="BodyText"/>
      </w:pPr>
      <w:r>
        <w:t xml:space="preserve">Al-Madina Architectural Design Studio</w:t>
      </w:r>
    </w:p>
    <w:p>
      <w:pPr>
        <w:pStyle w:val="BodyText"/>
      </w:pPr>
      <w:r>
        <w:t xml:space="preserve">Ar. Samira Al-Hussein</w:t>
      </w:r>
      <w:r>
        <w:br/>
      </w:r>
      <w:r>
        <w:t xml:space="preserve">Lead Architect, Iraqi Board of Architects</w:t>
      </w:r>
      <w:r>
        <w:br/>
      </w:r>
      <w:r>
        <w:t xml:space="preserve">Date: _______________</w:t>
      </w:r>
    </w:p>
    <w:p>
      <w:pPr>
        <w:pStyle w:val="BodyText"/>
      </w:pPr>
      <w:r>
        <w:t xml:space="preserve">This Purchase Order (PO-IRQ-BGD-2025-0472) is a binding commercial document issued in Baghdad, Republic of Iraq. It constitutes a formal request for Architectural services and shall remain in effect until the completion of all obligations herein. Unauthorized reproduction or modification of this document is prohibited under Iraqi commercial law.</w:t>
      </w:r>
    </w:p>
    <w:p>
      <w:pPr>
        <w:pStyle w:val="BodyText"/>
      </w:pPr>
      <w:r>
        <w:t xml:space="preserve">Page 1 of 1 — Generated: 14 June 2025 — Tigris Euphrates Development Group Co. Ltd.,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Iraq Baghdad</dc:title>
  <dc:creator/>
  <dc:language>en</dc:language>
  <cp:keywords/>
  <dcterms:created xsi:type="dcterms:W3CDTF">2026-10-10T02:59:55Z</dcterms:created>
  <dcterms:modified xsi:type="dcterms:W3CDTF">2026-10-10T02:59:55Z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