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Architectural Design &amp; Consulting Services — Japan Osaka</w:t>
      </w:r>
    </w:p>
    <w:p>
      <w:pPr>
        <w:pStyle w:val="BodyText"/>
      </w:pPr>
      <w:r>
        <w:t xml:space="preserve">Issued in accordance with the Building Standards Act of Japan and Osaka City Urban Planning Regulations</w:t>
      </w:r>
    </w:p>
    <w:bookmarkEnd w:id="20"/>
    <w:p>
      <w:pPr>
        <w:pStyle w:val="BodyText"/>
      </w:pPr>
      <w:r>
        <w:rPr>
          <w:bCs/>
          <w:b/>
        </w:rPr>
        <w:t xml:space="preserve">Purchase Order No.:</w:t>
      </w:r>
      <w:r>
        <w:t xml:space="preserve"> </w:t>
      </w:r>
      <w:r>
        <w:t xml:space="preserve">PO-OSK-2025-04782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Chuo-ku, Osaka, Japan</w:t>
      </w:r>
      <w:r>
        <w:br/>
      </w:r>
      <w:r>
        <w:rPr>
          <w:bCs/>
          <w:b/>
        </w:rPr>
        <w:t xml:space="preserve">Project Reference:</w:t>
      </w:r>
      <w:r>
        <w:t xml:space="preserve"> </w:t>
      </w:r>
      <w:r>
        <w:t xml:space="preserve">OSK-ARCH-2025-114</w:t>
      </w:r>
      <w:r>
        <w:br/>
      </w:r>
      <w:r>
        <w:rPr>
          <w:bCs/>
          <w:b/>
        </w:rPr>
        <w:t xml:space="preserve">Currency:</w:t>
      </w:r>
      <w:r>
        <w:t xml:space="preserve"> </w:t>
      </w:r>
      <w:r>
        <w:t xml:space="preserve">Japanese Yen (JPY)</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Kansai Metropolitan Development Co., Ltd.</w:t>
            </w:r>
          </w:p>
        </w:tc>
        <w:tc>
          <w:tcPr/>
          <w:p>
            <w:pPr>
              <w:pStyle w:val="Compact"/>
              <w:jc w:val="left"/>
            </w:pPr>
            <w:r>
              <w:rPr>
                <w:bCs/>
                <w:b/>
              </w:rPr>
              <w:t xml:space="preserve">Address:</w:t>
            </w:r>
            <w:r>
              <w:t xml:space="preserve"> </w:t>
            </w:r>
            <w:r>
              <w:t xml:space="preserve">1-2-3 Umeda, Kita-ku, Osaka 530-0001, Japan</w:t>
            </w:r>
          </w:p>
        </w:tc>
      </w:tr>
      <w:tr>
        <w:tc>
          <w:tcPr/>
          <w:p>
            <w:pPr>
              <w:pStyle w:val="Compact"/>
              <w:jc w:val="left"/>
            </w:pPr>
            <w:r>
              <w:rPr>
                <w:bCs/>
                <w:b/>
              </w:rPr>
              <w:t xml:space="preserve">Contact Person:</w:t>
            </w:r>
            <w:r>
              <w:t xml:space="preserve"> </w:t>
            </w:r>
            <w:r>
              <w:t xml:space="preserve">Mr. Hiroshi Tanaka, Project Director</w:t>
            </w:r>
          </w:p>
        </w:tc>
        <w:tc>
          <w:tcPr/>
          <w:p>
            <w:pPr>
              <w:pStyle w:val="Compact"/>
              <w:jc w:val="left"/>
            </w:pPr>
            <w:r>
              <w:rPr>
                <w:bCs/>
                <w:b/>
              </w:rPr>
              <w:t xml:space="preserve">Telephone:</w:t>
            </w:r>
            <w:r>
              <w:t xml:space="preserve"> </w:t>
            </w:r>
            <w:r>
              <w:t xml:space="preserve">+81-6-6441-2200</w:t>
            </w:r>
          </w:p>
        </w:tc>
      </w:tr>
      <w:tr>
        <w:tc>
          <w:tcPr/>
          <w:p>
            <w:pPr>
              <w:pStyle w:val="Compact"/>
              <w:jc w:val="left"/>
            </w:pPr>
            <w:r>
              <w:rPr>
                <w:bCs/>
                <w:b/>
              </w:rPr>
              <w:t xml:space="preserve">Email:</w:t>
            </w:r>
            <w:r>
              <w:t xml:space="preserve"> </w:t>
            </w:r>
            <w:r>
              <w:t xml:space="preserve">h.tanaka@kmd-co.jp</w:t>
            </w:r>
          </w:p>
        </w:tc>
        <w:tc>
          <w:tcPr/>
          <w:p>
            <w:pPr>
              <w:pStyle w:val="Compact"/>
              <w:jc w:val="left"/>
            </w:pPr>
            <w:r>
              <w:rPr>
                <w:bCs/>
                <w:b/>
              </w:rPr>
              <w:t xml:space="preserve">Corporate Number (Touhyou-bangou):</w:t>
            </w:r>
            <w:r>
              <w:t xml:space="preserve"> </w:t>
            </w:r>
            <w:r>
              <w:t xml:space="preserve">2710001123456</w:t>
            </w:r>
          </w:p>
        </w:tc>
      </w:tr>
    </w:tbl>
    <w:p>
      <w:pPr>
        <w:pStyle w:val="BodyText"/>
      </w:pPr>
      <w:r>
        <w:t xml:space="preserve">Supplier / Architect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Architect Firm:</w:t>
            </w:r>
            <w:r>
              <w:t xml:space="preserve"> </w:t>
            </w:r>
            <w:r>
              <w:t xml:space="preserve">Osaka Nihon Architectural Design Office (ONADO)</w:t>
            </w:r>
          </w:p>
        </w:tc>
        <w:tc>
          <w:tcPr/>
          <w:p>
            <w:pPr>
              <w:pStyle w:val="Compact"/>
              <w:jc w:val="left"/>
            </w:pPr>
            <w:r>
              <w:rPr>
                <w:bCs/>
                <w:b/>
              </w:rPr>
              <w:t xml:space="preserve">Address:</w:t>
            </w:r>
            <w:r>
              <w:t xml:space="preserve"> </w:t>
            </w:r>
            <w:r>
              <w:t xml:space="preserve">4-5-6 Namba, Chuo-ku, Osaka 542-0073, Japan</w:t>
            </w:r>
          </w:p>
        </w:tc>
      </w:tr>
      <w:tr>
        <w:tc>
          <w:tcPr/>
          <w:p>
            <w:pPr>
              <w:pStyle w:val="Compact"/>
              <w:jc w:val="left"/>
            </w:pPr>
            <w:r>
              <w:rPr>
                <w:bCs/>
                <w:b/>
              </w:rPr>
              <w:t xml:space="preserve">Lead Architect:</w:t>
            </w:r>
            <w:r>
              <w:t xml:space="preserve"> </w:t>
            </w:r>
            <w:r>
              <w:t xml:space="preserve">Ms. Yuki Sato, Registered Architect (Kiken) No. 11234567</w:t>
            </w:r>
          </w:p>
        </w:tc>
        <w:tc>
          <w:tcPr/>
          <w:p>
            <w:pPr>
              <w:pStyle w:val="Compact"/>
              <w:jc w:val="left"/>
            </w:pPr>
            <w:r>
              <w:rPr>
                <w:bCs/>
                <w:b/>
              </w:rPr>
              <w:t xml:space="preserve">Telephone:</w:t>
            </w:r>
            <w:r>
              <w:t xml:space="preserve"> </w:t>
            </w:r>
            <w:r>
              <w:t xml:space="preserve">+81-6-6210-8800</w:t>
            </w:r>
          </w:p>
        </w:tc>
      </w:tr>
      <w:tr>
        <w:tc>
          <w:tcPr/>
          <w:p>
            <w:pPr>
              <w:pStyle w:val="Compact"/>
              <w:jc w:val="left"/>
            </w:pPr>
            <w:r>
              <w:rPr>
                <w:bCs/>
                <w:b/>
              </w:rPr>
              <w:t xml:space="preserve">Email:</w:t>
            </w:r>
            <w:r>
              <w:t xml:space="preserve"> </w:t>
            </w:r>
            <w:r>
              <w:t xml:space="preserve">y.sato@onado-arch.jp</w:t>
            </w:r>
          </w:p>
        </w:tc>
        <w:tc>
          <w:tcPr/>
          <w:p>
            <w:pPr>
              <w:pStyle w:val="Compact"/>
              <w:jc w:val="left"/>
            </w:pPr>
            <w:r>
              <w:rPr>
                <w:bCs/>
                <w:b/>
              </w:rPr>
              <w:t xml:space="preserve">Architect License No.:</w:t>
            </w:r>
            <w:r>
              <w:t xml:space="preserve"> </w:t>
            </w:r>
            <w:r>
              <w:t xml:space="preserve">JAR-OSK-2019-0045</w:t>
            </w:r>
          </w:p>
        </w:tc>
      </w:tr>
    </w:tbl>
    <w:p>
      <w:pPr>
        <w:pStyle w:val="BodyText"/>
      </w:pPr>
      <w:r>
        <w:t xml:space="preserve">Description of Architectural Services</w:t>
      </w:r>
    </w:p>
    <w:p>
      <w:pPr>
        <w:pStyle w:val="BodyText"/>
      </w:pPr>
      <w:r>
        <w:t xml:space="preserve">This Purchase Order is issued by Kansai Metropolitan Development Co., Ltd. to engage the services of Osaka Nihon Architectural Design Office (ONADO) for the comprehensive architectural design, planning, and regulatory compliance of a mixed-use commercial and residential building located in Chuo-ku, Japan Osaka. The Architect shall be responsible for all phases of design from conceptual planning through to construction documentation, in full compliance with the Building Standards Act (Kenchiku Kijun Hou), the Fire Service Act, and all applicable Osaka City urban planning and zoning ordinances.</w:t>
      </w:r>
    </w:p>
    <w:p>
      <w:pPr>
        <w:pStyle w:val="BodyText"/>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Conceptual Design &amp; Site Analysis for mixed-use building (approx. 12,000 sqm GFA) in Japan Osaka, including feasibility study, massing studies, and preliminary zoning verification with Osaka City Planning Bureau</w:t>
            </w:r>
          </w:p>
        </w:tc>
        <w:tc>
          <w:tcPr/>
          <w:p>
            <w:pPr>
              <w:pStyle w:val="Compact"/>
              <w:jc w:val="left"/>
            </w:pPr>
            <w:r>
              <w:t xml:space="preserve">Months 1–3</w:t>
            </w:r>
          </w:p>
        </w:tc>
        <w:tc>
          <w:tcPr/>
          <w:p>
            <w:pPr>
              <w:pStyle w:val="Compact"/>
              <w:jc w:val="left"/>
            </w:pPr>
            <w:r>
              <w:t xml:space="preserve">Lump Sum</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Schematic Design Development, including architectural drawings, structural coordination, MEP preliminary layout, and client presentation packages for the Japan Osaka project</w:t>
            </w:r>
          </w:p>
        </w:tc>
        <w:tc>
          <w:tcPr/>
          <w:p>
            <w:pPr>
              <w:pStyle w:val="Compact"/>
              <w:jc w:val="left"/>
            </w:pPr>
            <w:r>
              <w:t xml:space="preserve">Months 4–6</w:t>
            </w:r>
          </w:p>
        </w:tc>
        <w:tc>
          <w:tcPr/>
          <w:p>
            <w:pPr>
              <w:pStyle w:val="Compact"/>
              <w:jc w:val="left"/>
            </w:pPr>
            <w:r>
              <w:t xml:space="preserve">Lump Sum</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Design Development &amp; Detailed Architectural Drawings, including interior design specifications, facade engineering coordination, and material selection for the Japan Osaka development</w:t>
            </w:r>
          </w:p>
        </w:tc>
        <w:tc>
          <w:tcPr/>
          <w:p>
            <w:pPr>
              <w:pStyle w:val="Compact"/>
              <w:jc w:val="left"/>
            </w:pPr>
            <w:r>
              <w:t xml:space="preserve">Months 7–10</w:t>
            </w:r>
          </w:p>
        </w:tc>
        <w:tc>
          <w:tcPr/>
          <w:p>
            <w:pPr>
              <w:pStyle w:val="Compact"/>
              <w:jc w:val="left"/>
            </w:pPr>
            <w:r>
              <w:t xml:space="preserve">Lump Sum</w:t>
            </w:r>
          </w:p>
        </w:tc>
        <w:tc>
          <w:tcPr/>
          <w:p>
            <w:pPr>
              <w:pStyle w:val="Compact"/>
              <w:jc w:val="left"/>
            </w:pPr>
            <w:r>
              <w:t xml:space="preserve">9,800,000</w:t>
            </w:r>
          </w:p>
        </w:tc>
      </w:tr>
      <w:tr>
        <w:tc>
          <w:tcPr/>
          <w:p>
            <w:pPr>
              <w:pStyle w:val="Compact"/>
              <w:jc w:val="left"/>
            </w:pPr>
            <w:r>
              <w:t xml:space="preserve">4</w:t>
            </w:r>
          </w:p>
        </w:tc>
        <w:tc>
          <w:tcPr/>
          <w:p>
            <w:pPr>
              <w:pStyle w:val="Compact"/>
              <w:jc w:val="left"/>
            </w:pPr>
            <w:r>
              <w:t xml:space="preserve">Construction Documentation &amp; Tender Drawings, including full set of architectural, structural, and MEP coordination drawings for submission to Osaka City Building Standards Division for permit approval</w:t>
            </w:r>
          </w:p>
        </w:tc>
        <w:tc>
          <w:tcPr/>
          <w:p>
            <w:pPr>
              <w:pStyle w:val="Compact"/>
              <w:jc w:val="left"/>
            </w:pPr>
            <w:r>
              <w:t xml:space="preserve">Months 11–14</w:t>
            </w:r>
          </w:p>
        </w:tc>
        <w:tc>
          <w:tcPr/>
          <w:p>
            <w:pPr>
              <w:pStyle w:val="Compact"/>
              <w:jc w:val="left"/>
            </w:pPr>
            <w:r>
              <w:t xml:space="preserve">Lump Sum</w:t>
            </w:r>
          </w:p>
        </w:tc>
        <w:tc>
          <w:tcPr/>
          <w:p>
            <w:pPr>
              <w:pStyle w:val="Compact"/>
              <w:jc w:val="left"/>
            </w:pPr>
            <w:r>
              <w:t xml:space="preserve">11,500,000</w:t>
            </w:r>
          </w:p>
        </w:tc>
      </w:tr>
      <w:tr>
        <w:tc>
          <w:tcPr/>
          <w:p>
            <w:pPr>
              <w:pStyle w:val="Compact"/>
              <w:jc w:val="left"/>
            </w:pPr>
            <w:r>
              <w:t xml:space="preserve">5</w:t>
            </w:r>
          </w:p>
        </w:tc>
        <w:tc>
          <w:tcPr/>
          <w:p>
            <w:pPr>
              <w:pStyle w:val="Compact"/>
              <w:jc w:val="left"/>
            </w:pPr>
            <w:r>
              <w:t xml:space="preserve">Building Permit Application Support &amp; Regulatory Liaison with Japan Osaka municipal authorities, including Fire Prevention Office, Urban Planning Bureau, and Environmental Impact Assessment coordination</w:t>
            </w:r>
          </w:p>
        </w:tc>
        <w:tc>
          <w:tcPr/>
          <w:p>
            <w:pPr>
              <w:pStyle w:val="Compact"/>
              <w:jc w:val="left"/>
            </w:pPr>
            <w:r>
              <w:t xml:space="preserve">Months 14–16</w:t>
            </w:r>
          </w:p>
        </w:tc>
        <w:tc>
          <w:tcPr/>
          <w:p>
            <w:pPr>
              <w:pStyle w:val="Compact"/>
              <w:jc w:val="left"/>
            </w:pPr>
            <w:r>
              <w:t xml:space="preserve">Lump Sum</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Construction Phase Architectural Supervision &amp; Site Visits (minimum 2 visits per week) throughout the construction period in Japan Osaka, including progress reports, RFIs, and as-built documentation</w:t>
            </w:r>
          </w:p>
        </w:tc>
        <w:tc>
          <w:tcPr/>
          <w:p>
            <w:pPr>
              <w:pStyle w:val="Compact"/>
              <w:jc w:val="left"/>
            </w:pPr>
            <w:r>
              <w:t xml:space="preserve">Months 17–30</w:t>
            </w:r>
          </w:p>
        </w:tc>
        <w:tc>
          <w:tcPr/>
          <w:p>
            <w:pPr>
              <w:pStyle w:val="Compact"/>
              <w:jc w:val="left"/>
            </w:pPr>
            <w:r>
              <w:t xml:space="preserve">Monthly</w:t>
            </w:r>
          </w:p>
        </w:tc>
        <w:tc>
          <w:tcPr/>
          <w:p>
            <w:pPr>
              <w:pStyle w:val="Compact"/>
              <w:jc w:val="left"/>
            </w:pPr>
            <w:r>
              <w:t xml:space="preserve">1,850,000 / month</w:t>
            </w:r>
          </w:p>
        </w:tc>
      </w:tr>
      <w:tr>
        <w:tc>
          <w:tcPr/>
          <w:p>
            <w:pPr>
              <w:pStyle w:val="Compact"/>
              <w:jc w:val="left"/>
            </w:pPr>
            <w:r>
              <w:t xml:space="preserve">7</w:t>
            </w:r>
          </w:p>
        </w:tc>
        <w:tc>
          <w:tcPr/>
          <w:p>
            <w:pPr>
              <w:pStyle w:val="Compact"/>
              <w:jc w:val="left"/>
            </w:pPr>
            <w:r>
              <w:t xml:space="preserve">Final Handover, As-Built Drawings, O&amp;M Manuals, and Post-Occupancy Evaluation for the Japan Osaka project</w:t>
            </w:r>
          </w:p>
        </w:tc>
        <w:tc>
          <w:tcPr/>
          <w:p>
            <w:pPr>
              <w:pStyle w:val="Compact"/>
              <w:jc w:val="left"/>
            </w:pPr>
            <w:r>
              <w:t xml:space="preserve">Months 30–32</w:t>
            </w:r>
          </w:p>
        </w:tc>
        <w:tc>
          <w:tcPr/>
          <w:p>
            <w:pPr>
              <w:pStyle w:val="Compact"/>
              <w:jc w:val="left"/>
            </w:pPr>
            <w:r>
              <w:t xml:space="preserve">Lump Sum</w:t>
            </w:r>
          </w:p>
        </w:tc>
        <w:tc>
          <w:tcPr/>
          <w:p>
            <w:pPr>
              <w:pStyle w:val="Compact"/>
              <w:jc w:val="left"/>
            </w:pPr>
            <w:r>
              <w:t xml:space="preserve">2,400,000</w:t>
            </w:r>
          </w:p>
        </w:tc>
      </w:tr>
      <w:tr>
        <w:tc>
          <w:tcPr>
            <w:gridSpan w:val="4"/>
          </w:tcPr>
          <w:p>
            <w:pPr>
              <w:pStyle w:val="Compact"/>
              <w:jc w:val="right"/>
            </w:pPr>
            <w:r>
              <w:t xml:space="preserve">Subtotal (Fixed Items):</w:t>
            </w:r>
          </w:p>
        </w:tc>
        <w:tc>
          <w:tcPr/>
          <w:p>
            <w:pPr>
              <w:pStyle w:val="Compact"/>
              <w:jc w:val="left"/>
            </w:pPr>
            <w:r>
              <w:t xml:space="preserve">38,600,000</w:t>
            </w:r>
          </w:p>
        </w:tc>
      </w:tr>
      <w:tr>
        <w:tc>
          <w:tcPr>
            <w:gridSpan w:val="4"/>
          </w:tcPr>
          <w:p>
            <w:pPr>
              <w:pStyle w:val="Compact"/>
              <w:jc w:val="right"/>
            </w:pPr>
            <w:r>
              <w:t xml:space="preserve">Construction Supervision (14 months × 1,850,000):</w:t>
            </w:r>
          </w:p>
        </w:tc>
        <w:tc>
          <w:tcPr/>
          <w:p>
            <w:pPr>
              <w:pStyle w:val="Compact"/>
              <w:jc w:val="left"/>
            </w:pPr>
            <w:r>
              <w:t xml:space="preserve">25,900,000</w:t>
            </w:r>
          </w:p>
        </w:tc>
      </w:tr>
      <w:tr>
        <w:tc>
          <w:tcPr>
            <w:gridSpan w:val="4"/>
          </w:tcPr>
          <w:p>
            <w:pPr>
              <w:pStyle w:val="Compact"/>
              <w:jc w:val="right"/>
            </w:pPr>
            <w:r>
              <w:t xml:space="preserve">Consumption Tax (10%):</w:t>
            </w:r>
          </w:p>
        </w:tc>
        <w:tc>
          <w:tcPr/>
          <w:p>
            <w:pPr>
              <w:pStyle w:val="Compact"/>
              <w:jc w:val="left"/>
            </w:pPr>
            <w:r>
              <w:t xml:space="preserve">6,450,000</w:t>
            </w:r>
          </w:p>
        </w:tc>
      </w:tr>
      <w:tr>
        <w:tc>
          <w:tcPr>
            <w:gridSpan w:val="4"/>
          </w:tcPr>
          <w:p>
            <w:pPr>
              <w:pStyle w:val="Compact"/>
              <w:jc w:val="right"/>
            </w:pPr>
            <w:r>
              <w:t xml:space="preserve">TOTAL PURCHASE ORDER VALUE:</w:t>
            </w:r>
          </w:p>
        </w:tc>
        <w:tc>
          <w:tcPr/>
          <w:p>
            <w:pPr>
              <w:pStyle w:val="Compact"/>
              <w:jc w:val="left"/>
            </w:pPr>
            <w:r>
              <w:t xml:space="preserve">70,950,000 JPY</w:t>
            </w:r>
          </w:p>
        </w:tc>
      </w:tr>
    </w:tbl>
    <w:p>
      <w:pPr>
        <w:pStyle w:val="BodyText"/>
      </w:pPr>
      <w:r>
        <w:t xml:space="preserve">Terms &amp; Conditions</w:t>
      </w:r>
    </w:p>
    <w:p>
      <w:pPr>
        <w:numPr>
          <w:ilvl w:val="0"/>
          <w:numId w:val="1001"/>
        </w:numPr>
        <w:pStyle w:val="Compact"/>
      </w:pPr>
      <w:r>
        <w:t xml:space="preserve">This Purchase Order shall be governed by and construed in accordance with the laws of Japan, specifically the Civil Code of Japan and the Building Standards Act applicable to the Japan Osaka metropolitan area.</w:t>
      </w:r>
    </w:p>
    <w:p>
      <w:pPr>
        <w:numPr>
          <w:ilvl w:val="0"/>
          <w:numId w:val="1001"/>
        </w:numPr>
        <w:pStyle w:val="Compact"/>
      </w:pPr>
      <w:r>
        <w:t xml:space="preserve">The Architect shall maintain professional liability insurance with a minimum coverage of 500,000,000 JPY throughout the duration of this Purchase Order and shall provide a certificate of insurance upon request.</w:t>
      </w:r>
    </w:p>
    <w:p>
      <w:pPr>
        <w:numPr>
          <w:ilvl w:val="0"/>
          <w:numId w:val="1001"/>
        </w:numPr>
        <w:pStyle w:val="Compact"/>
      </w:pPr>
      <w:r>
        <w:t xml:space="preserve">All architectural deliverables produced under this Purchase Order shall be the exclusive intellectual property of the Buyer upon full payment. The Architect retains the right to reference the project in professional portfolios with prior written consent from the Buyer.</w:t>
      </w:r>
    </w:p>
    <w:p>
      <w:pPr>
        <w:numPr>
          <w:ilvl w:val="0"/>
          <w:numId w:val="1001"/>
        </w:numPr>
        <w:pStyle w:val="Compact"/>
      </w:pPr>
      <w:r>
        <w:t xml:space="preserve">Payment shall be made in Japanese Yen (JPY) via bank transfer to the account designated by the Architect. Invoices are due within 30 days of receipt. Late payments shall accrue interest at the statutory rate of 1.5% per annum as prescribed by the Late Payment Interest Act of Japan.</w:t>
      </w:r>
    </w:p>
    <w:p>
      <w:pPr>
        <w:numPr>
          <w:ilvl w:val="0"/>
          <w:numId w:val="1001"/>
        </w:numPr>
        <w:pStyle w:val="Compact"/>
      </w:pPr>
      <w:r>
        <w:t xml:space="preserve">The Architect shall comply with all safety, environmental, and labor regulations applicable in Japan Osaka, including the Labor Standards Act and the Act on the Rational Use of Resources.</w:t>
      </w:r>
    </w:p>
    <w:p>
      <w:pPr>
        <w:numPr>
          <w:ilvl w:val="0"/>
          <w:numId w:val="1001"/>
        </w:numPr>
        <w:pStyle w:val="Compact"/>
      </w:pPr>
      <w:r>
        <w:t xml:space="preserve">Any changes to the scope of architectural services under this Purchase Order must be documented in a written Change Order signed by both parties. No verbal modifications shall be binding.</w:t>
      </w:r>
    </w:p>
    <w:p>
      <w:pPr>
        <w:numPr>
          <w:ilvl w:val="0"/>
          <w:numId w:val="1001"/>
        </w:numPr>
        <w:pStyle w:val="Compact"/>
      </w:pPr>
      <w:r>
        <w:t xml:space="preserve">The Architect warrants that all design work shall comply with the seismic design standards (Shindan Kijun) mandated for the Japan Osaka region, including the 2016 revised Building Standards Act seismic provisions.</w:t>
      </w:r>
    </w:p>
    <w:p>
      <w:pPr>
        <w:numPr>
          <w:ilvl w:val="0"/>
          <w:numId w:val="1001"/>
        </w:numPr>
        <w:pStyle w:val="Compact"/>
      </w:pPr>
      <w:r>
        <w:t xml:space="preserve">Disputes arising from this Purchase Order shall be resolved through mediation under the Japan Architectural Institute (JIA) dispute resolution procedures before escalation to the Osaka District Court.</w:t>
      </w:r>
    </w:p>
    <w:p>
      <w:pPr>
        <w:numPr>
          <w:ilvl w:val="0"/>
          <w:numId w:val="1001"/>
        </w:numPr>
        <w:pStyle w:val="Compact"/>
      </w:pPr>
      <w:r>
        <w:t xml:space="preserve">This Purchase Order is valid for a period of 90 days from the date of issue. If not accepted and signed by the Architect within this period, it shall automatically lapse.</w:t>
      </w:r>
    </w:p>
    <w:p>
      <w:pPr>
        <w:pStyle w:val="FirstParagraph"/>
      </w:pPr>
      <w:r>
        <w:rPr>
          <w:bCs/>
          <w:b/>
        </w:rPr>
        <w:t xml:space="preserve">Important Note:</w:t>
      </w:r>
      <w:r>
        <w:t xml:space="preserve"> </w:t>
      </w:r>
      <w:r>
        <w:t xml:space="preserve">This Purchase Order for Architect services is subject to the prior approval of the Osaka City Urban Planning Committee and the completion of the Environmental Impact Assessment (EIA) as required under the EIA Act for projects exceeding 10,000 sqm in the Japan Osaka metropolitan zone. The Architect shall coordinate all regulatory submissions with the relevant Japan Osaka municipal offices.</w:t>
      </w:r>
    </w:p>
    <w:p>
      <w:pPr>
        <w:pStyle w:val="BodyText"/>
      </w:pPr>
      <w:r>
        <w:rPr>
          <w:bCs/>
          <w:b/>
        </w:rPr>
        <w:t xml:space="preserve">For and on behalf of the Buyer:</w:t>
      </w:r>
    </w:p>
    <w:p>
      <w:pPr>
        <w:pStyle w:val="BodyText"/>
      </w:pPr>
      <w:r>
        <w:t xml:space="preserve">Kansai Metropolitan Development Co., Ltd.</w:t>
      </w:r>
    </w:p>
    <w:p>
      <w:pPr>
        <w:pStyle w:val="BodyText"/>
      </w:pPr>
      <w:r>
        <w:t xml:space="preserve">Mr. Hiroshi Tanaka</w:t>
      </w:r>
      <w:r>
        <w:br/>
      </w:r>
      <w:r>
        <w:t xml:space="preserve">Project Director</w:t>
      </w:r>
      <w:r>
        <w:br/>
      </w:r>
      <w:r>
        <w:t xml:space="preserve">Signature &amp; Company Seal (Hanko)</w:t>
      </w:r>
      <w:r>
        <w:br/>
      </w:r>
      <w:r>
        <w:t xml:space="preserve">Date: _______________</w:t>
      </w:r>
    </w:p>
    <w:p>
      <w:pPr>
        <w:pStyle w:val="BodyText"/>
      </w:pPr>
      <w:r>
        <w:rPr>
          <w:bCs/>
          <w:b/>
        </w:rPr>
        <w:t xml:space="preserve">For and on behalf of the Architect:</w:t>
      </w:r>
    </w:p>
    <w:p>
      <w:pPr>
        <w:pStyle w:val="BodyText"/>
      </w:pPr>
      <w:r>
        <w:t xml:space="preserve">Osaka Nihon Architectural Design Office (ONADO)</w:t>
      </w:r>
    </w:p>
    <w:p>
      <w:pPr>
        <w:pStyle w:val="BodyText"/>
      </w:pPr>
      <w:r>
        <w:t xml:space="preserve">Ms. Yuki Sato</w:t>
      </w:r>
      <w:r>
        <w:br/>
      </w:r>
      <w:r>
        <w:t xml:space="preserve">Lead Architect, Registered (Kiken)</w:t>
      </w:r>
      <w:r>
        <w:br/>
      </w:r>
      <w:r>
        <w:t xml:space="preserve">Signature &amp; Company Seal (Hanko)</w:t>
      </w:r>
      <w:r>
        <w:br/>
      </w:r>
      <w:r>
        <w:t xml:space="preserve">Date: _______________</w:t>
      </w:r>
    </w:p>
    <w:p>
      <w:pPr>
        <w:pStyle w:val="BodyText"/>
      </w:pPr>
      <w:r>
        <w:t xml:space="preserve">This Purchase Order document (PO-OSK-2025-04782) was prepared for the architectural development project in Japan Osaka. All references to the Architect, the Purchase Order terms, and the Japan Osaka regulatory framework are integral to this agreement. Document version 1.0 — Confidential — Do not distribute without written authorization from Kansai Metropolitan Development Co.,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Japan Osaka</dc:title>
  <dc:creator/>
  <dc:language>en</dc:language>
  <cp:keywords/>
  <dcterms:created xsi:type="dcterms:W3CDTF">2026-10-10T03:38:04Z</dcterms:created>
  <dcterms:modified xsi:type="dcterms:W3CDTF">2026-10-10T03:38:04Z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