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Architect Services — Kazakhstan Almaty</w:t>
      </w:r>
    </w:p>
    <w:p>
      <w:pPr>
        <w:pStyle w:val="BodyText"/>
      </w:pPr>
      <w:r>
        <w:t xml:space="preserve">Document Reference: PO-KZ-ALM-2025-0047</w:t>
      </w:r>
    </w:p>
    <w:bookmarkEnd w:id="20"/>
    <w:p>
      <w:pPr>
        <w:pStyle w:val="BodyText"/>
      </w:pPr>
      <w:r>
        <w:rPr>
          <w:bCs/>
          <w:b/>
        </w:rPr>
        <w:t xml:space="preserve">Purchase Order No.:</w:t>
      </w:r>
      <w:r>
        <w:t xml:space="preserve"> </w:t>
      </w:r>
      <w:r>
        <w:t xml:space="preserve">PO-KZ-ALM-2025-0047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Kazakhstan Almaty</w:t>
      </w:r>
      <w:r>
        <w:br/>
      </w:r>
      <w:r>
        <w:rPr>
          <w:bCs/>
          <w:b/>
        </w:rPr>
        <w:t xml:space="preserve">Project Name:</w:t>
      </w:r>
      <w:r>
        <w:t xml:space="preserve"> </w:t>
      </w:r>
      <w:r>
        <w:t xml:space="preserve">Almaty Riverside Commercial Complex</w:t>
      </w:r>
      <w:r>
        <w:br/>
      </w:r>
      <w:r>
        <w:rPr>
          <w:bCs/>
          <w:b/>
        </w:rPr>
        <w:t xml:space="preserve">Contract Value:</w:t>
      </w:r>
      <w:r>
        <w:t xml:space="preserve"> </w:t>
      </w:r>
      <w:r>
        <w:t xml:space="preserve">KZT 48,500,000</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Almaty Development Group LLP</w:t>
            </w:r>
          </w:p>
        </w:tc>
        <w:tc>
          <w:tcPr/>
          <w:p>
            <w:pPr>
              <w:pStyle w:val="Compact"/>
              <w:jc w:val="left"/>
            </w:pPr>
            <w:r>
              <w:t xml:space="preserve">50 Abay Avenue, Almaty, 050040, Kazakhstan</w:t>
            </w:r>
          </w:p>
        </w:tc>
        <w:tc>
          <w:tcPr/>
          <w:p>
            <w:pPr>
              <w:pStyle w:val="Compact"/>
              <w:jc w:val="left"/>
            </w:pPr>
            <w:r>
              <w:t xml:space="preserve">procurement@almatydev.kz</w:t>
            </w:r>
          </w:p>
        </w:tc>
      </w:tr>
      <w:tr>
        <w:tc>
          <w:tcPr/>
          <w:p>
            <w:pPr>
              <w:pStyle w:val="Compact"/>
              <w:jc w:val="left"/>
            </w:pPr>
            <w:r>
              <w:rPr>
                <w:bCs/>
                <w:b/>
              </w:rPr>
              <w:t xml:space="preserve">Supplier (Architect)</w:t>
            </w:r>
          </w:p>
        </w:tc>
        <w:tc>
          <w:tcPr/>
          <w:p>
            <w:pPr>
              <w:pStyle w:val="Compact"/>
              <w:jc w:val="left"/>
            </w:pPr>
            <w:r>
              <w:t xml:space="preserve">Steppe Design &amp; Architecture Bureau LLP</w:t>
            </w:r>
          </w:p>
        </w:tc>
        <w:tc>
          <w:tcPr/>
          <w:p>
            <w:pPr>
              <w:pStyle w:val="Compact"/>
              <w:jc w:val="left"/>
            </w:pPr>
            <w:r>
              <w:t xml:space="preserve">12 Dostyk Avenue, Almaty, 050000, Kazakhstan</w:t>
            </w:r>
          </w:p>
        </w:tc>
        <w:tc>
          <w:tcPr/>
          <w:p>
            <w:pPr>
              <w:pStyle w:val="Compact"/>
              <w:jc w:val="left"/>
            </w:pPr>
            <w:r>
              <w:t xml:space="preserve">office@steppedesign.kz</w:t>
            </w:r>
          </w:p>
        </w:tc>
      </w:tr>
    </w:tbl>
    <w:p>
      <w:pPr>
        <w:pStyle w:val="BodyText"/>
      </w:pPr>
      <w:r>
        <w:t xml:space="preserve">This</w:t>
      </w:r>
      <w:r>
        <w:t xml:space="preserve"> </w:t>
      </w:r>
      <w:r>
        <w:t xml:space="preserve">Purchase Order</w:t>
      </w:r>
      <w:r>
        <w:t xml:space="preserve"> </w:t>
      </w:r>
      <w:r>
        <w:t xml:space="preserve">is issued by Almaty Development Group LLP (hereinafter referred to as the "Purchaser") to Steppe Design &amp; Architecture Bureau LLP (hereinafter referred to as the "Architect") for the provision of comprehensive architectural design and consultancy services for the Almaty Riverside Commercial Complex project located in</w:t>
      </w:r>
      <w:r>
        <w:t xml:space="preserve"> </w:t>
      </w:r>
      <w:r>
        <w:t xml:space="preserve">Kazakhstan Almaty</w:t>
      </w:r>
      <w:r>
        <w:t xml:space="preserve">. This</w:t>
      </w:r>
      <w:r>
        <w:t xml:space="preserve"> </w:t>
      </w:r>
      <w:r>
        <w:t xml:space="preserve">Purchase Order</w:t>
      </w:r>
      <w:r>
        <w:t xml:space="preserve"> </w:t>
      </w:r>
      <w:r>
        <w:t xml:space="preserve">constitutes a binding agreement between the parties upon acceptance and signature.</w:t>
      </w:r>
    </w:p>
    <w:bookmarkEnd w:id="21"/>
    <w:bookmarkStart w:id="22"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engaged under this</w:t>
      </w:r>
      <w:r>
        <w:t xml:space="preserve"> </w:t>
      </w:r>
      <w:r>
        <w:t xml:space="preserve">Purchase Order</w:t>
      </w:r>
      <w:r>
        <w:t xml:space="preserve"> </w:t>
      </w:r>
      <w:r>
        <w:t xml:space="preserve">shall deliver the following professional services for the project situated in</w:t>
      </w:r>
      <w:r>
        <w:t xml:space="preserve"> </w:t>
      </w:r>
      <w:r>
        <w:t xml:space="preserve">Kazakhstan Almaty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Quantity / Phase</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Conceptual architectural design and feasibility study for the Almaty Riverside Commercial Complex, including site analysis specific to the topography and climate of Kazakhstan Almaty</w:t>
            </w:r>
          </w:p>
        </w:tc>
        <w:tc>
          <w:tcPr/>
          <w:p>
            <w:pPr>
              <w:pStyle w:val="Compact"/>
              <w:jc w:val="left"/>
            </w:pPr>
            <w:r>
              <w:t xml:space="preserve">1 Phase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02</w:t>
            </w:r>
          </w:p>
        </w:tc>
        <w:tc>
          <w:tcPr/>
          <w:p>
            <w:pPr>
              <w:pStyle w:val="Compact"/>
              <w:jc w:val="left"/>
            </w:pPr>
            <w:r>
              <w:t xml:space="preserve">Detailed architectural drawings, structural coordination, and building systems integration for all four floors of the commercial complex</w:t>
            </w:r>
          </w:p>
        </w:tc>
        <w:tc>
          <w:tcPr/>
          <w:p>
            <w:pPr>
              <w:pStyle w:val="Compact"/>
              <w:jc w:val="left"/>
            </w:pPr>
            <w:r>
              <w:t xml:space="preserve">1 Phase</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03</w:t>
            </w:r>
          </w:p>
        </w:tc>
        <w:tc>
          <w:tcPr/>
          <w:p>
            <w:pPr>
              <w:pStyle w:val="Compact"/>
              <w:jc w:val="left"/>
            </w:pPr>
            <w:r>
              <w:t xml:space="preserve">Interior design specification and material selection compliant with Kazakhstan building codes and Almaty municipal regulations</w:t>
            </w:r>
          </w:p>
        </w:tc>
        <w:tc>
          <w:tcPr/>
          <w:p>
            <w:pPr>
              <w:pStyle w:val="Compact"/>
              <w:jc w:val="left"/>
            </w:pPr>
            <w:r>
              <w:t xml:space="preserve">1 Phase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Construction documentation package, tender drawings, and bill of quantities preparation for contractor bidding in Kazakhstan Almaty</w:t>
            </w:r>
          </w:p>
        </w:tc>
        <w:tc>
          <w:tcPr/>
          <w:p>
            <w:pPr>
              <w:pStyle w:val="Compact"/>
              <w:jc w:val="left"/>
            </w:pPr>
            <w:r>
              <w:t xml:space="preserve">1 Phase</w:t>
            </w:r>
          </w:p>
        </w:tc>
        <w:tc>
          <w:tcPr/>
          <w:p>
            <w:pPr>
              <w:pStyle w:val="Compact"/>
              <w:jc w:val="left"/>
            </w:pPr>
            <w:r>
              <w:t xml:space="preserve">9,300,000</w:t>
            </w:r>
          </w:p>
        </w:tc>
        <w:tc>
          <w:tcPr/>
          <w:p>
            <w:pPr>
              <w:pStyle w:val="Compact"/>
              <w:jc w:val="left"/>
            </w:pPr>
            <w:r>
              <w:t xml:space="preserve">9,300,000</w:t>
            </w:r>
          </w:p>
        </w:tc>
      </w:tr>
      <w:tr>
        <w:tc>
          <w:tcPr/>
          <w:p>
            <w:pPr>
              <w:pStyle w:val="Compact"/>
              <w:jc w:val="left"/>
            </w:pPr>
            <w:r>
              <w:t xml:space="preserve">05</w:t>
            </w:r>
          </w:p>
        </w:tc>
        <w:tc>
          <w:tcPr/>
          <w:p>
            <w:pPr>
              <w:pStyle w:val="Compact"/>
              <w:jc w:val="left"/>
            </w:pPr>
            <w:r>
              <w:t xml:space="preserve">Site supervision, design review, and as-built documentation by the Architect throughout the construction period in Kazakhstan Almaty</w:t>
            </w:r>
          </w:p>
        </w:tc>
        <w:tc>
          <w:tcPr/>
          <w:p>
            <w:pPr>
              <w:pStyle w:val="Compact"/>
              <w:jc w:val="left"/>
            </w:pPr>
            <w:r>
              <w:t xml:space="preserve">18 Months</w:t>
            </w:r>
          </w:p>
        </w:tc>
        <w:tc>
          <w:tcPr/>
          <w:p>
            <w:pPr>
              <w:pStyle w:val="Compact"/>
              <w:jc w:val="left"/>
            </w:pPr>
            <w:r>
              <w:t xml:space="preserve">12,700,000</w:t>
            </w:r>
          </w:p>
        </w:tc>
        <w:tc>
          <w:tcPr/>
          <w:p>
            <w:pPr>
              <w:pStyle w:val="Compact"/>
              <w:jc w:val="left"/>
            </w:pPr>
            <w:r>
              <w:t xml:space="preserve">12,700,000</w:t>
            </w:r>
          </w:p>
        </w:tc>
      </w:tr>
      <w:tr>
        <w:tc>
          <w:tcPr/>
          <w:p>
            <w:pPr>
              <w:pStyle w:val="Compact"/>
              <w:jc w:val="left"/>
            </w:pPr>
            <w:r>
              <w:t xml:space="preserve">06</w:t>
            </w:r>
          </w:p>
        </w:tc>
        <w:tc>
          <w:tcPr/>
          <w:p>
            <w:pPr>
              <w:pStyle w:val="Compact"/>
              <w:jc w:val="left"/>
            </w:pPr>
            <w:r>
              <w:t xml:space="preserve">Permit application support, regulatory compliance review, and coordination with Almaty City Architecture Committee</w:t>
            </w:r>
          </w:p>
        </w:tc>
        <w:tc>
          <w:tcPr/>
          <w:p>
            <w:pPr>
              <w:pStyle w:val="Compact"/>
              <w:jc w:val="left"/>
            </w:pPr>
            <w:r>
              <w:t xml:space="preserve">1 Phase</w:t>
            </w:r>
          </w:p>
        </w:tc>
        <w:tc>
          <w:tcPr/>
          <w:p>
            <w:pPr>
              <w:pStyle w:val="Compact"/>
              <w:jc w:val="left"/>
            </w:pPr>
            <w:r>
              <w:t xml:space="preserve">0</w:t>
            </w:r>
          </w:p>
        </w:tc>
        <w:tc>
          <w:tcPr/>
          <w:p>
            <w:pPr>
              <w:pStyle w:val="Compact"/>
              <w:jc w:val="left"/>
            </w:pPr>
            <w:r>
              <w:t xml:space="preserve">0 (included)</w:t>
            </w:r>
          </w:p>
        </w:tc>
      </w:tr>
      <w:tr>
        <w:tc>
          <w:tcPr>
            <w:gridSpan w:val="4"/>
          </w:tcPr>
          <w:p>
            <w:pPr>
              <w:pStyle w:val="Compact"/>
              <w:jc w:val="right"/>
            </w:pPr>
            <w:r>
              <w:t xml:space="preserve">TOTAL CONTRACT VALUE:</w:t>
            </w:r>
          </w:p>
        </w:tc>
        <w:tc>
          <w:tcPr/>
          <w:p>
            <w:pPr>
              <w:pStyle w:val="Compact"/>
              <w:jc w:val="left"/>
            </w:pPr>
            <w:r>
              <w:t xml:space="preserve">48,500,000</w:t>
            </w:r>
          </w:p>
        </w:tc>
      </w:tr>
    </w:tbl>
    <w:bookmarkEnd w:id="22"/>
    <w:bookmarkStart w:id="23" w:name="payment-terms"/>
    <w:p>
      <w:pPr>
        <w:pStyle w:val="Heading2"/>
      </w:pPr>
      <w:r>
        <w:t xml:space="preserve">3. Payment Terms</w:t>
      </w:r>
    </w:p>
    <w:p>
      <w:pPr>
        <w:pStyle w:val="FirstParagraph"/>
      </w:pPr>
      <w:r>
        <w:t xml:space="preserve">Payment under this</w:t>
      </w:r>
      <w:r>
        <w:t xml:space="preserve"> </w:t>
      </w:r>
      <w:r>
        <w:t xml:space="preserve">Purchase Order</w:t>
      </w:r>
      <w:r>
        <w:t xml:space="preserve"> </w:t>
      </w:r>
      <w:r>
        <w:t xml:space="preserve">shall be made in Tenge (KZT) via bank transfer to the</w:t>
      </w:r>
      <w:r>
        <w:t xml:space="preserve"> </w:t>
      </w:r>
      <w:r>
        <w:t xml:space="preserve">Architect</w:t>
      </w:r>
      <w:r>
        <w:t xml:space="preserve">'s designated account in Kazakhstan Almaty.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(KZT)</w:t>
            </w:r>
          </w:p>
        </w:tc>
        <w:tc>
          <w:tcPr/>
          <w:p>
            <w:pPr>
              <w:pStyle w:val="Compact"/>
              <w:jc w:val="left"/>
            </w:pPr>
            <w:r>
              <w:t xml:space="preserve">Due Date</w:t>
            </w:r>
          </w:p>
        </w:tc>
      </w:tr>
      <w:tr>
        <w:tc>
          <w:tcPr/>
          <w:p>
            <w:pPr>
              <w:pStyle w:val="Compact"/>
              <w:jc w:val="left"/>
            </w:pPr>
            <w:r>
              <w:t xml:space="preserve">Upon execution of this Purchase Order</w:t>
            </w:r>
          </w:p>
        </w:tc>
        <w:tc>
          <w:tcPr/>
          <w:p>
            <w:pPr>
              <w:pStyle w:val="Compact"/>
              <w:jc w:val="left"/>
            </w:pPr>
            <w:r>
              <w:t xml:space="preserve">20%</w:t>
            </w:r>
          </w:p>
        </w:tc>
        <w:tc>
          <w:tcPr/>
          <w:p>
            <w:pPr>
              <w:pStyle w:val="Compact"/>
              <w:jc w:val="left"/>
            </w:pPr>
            <w:r>
              <w:t xml:space="preserve">9,700,000</w:t>
            </w:r>
          </w:p>
        </w:tc>
        <w:tc>
          <w:tcPr/>
          <w:p>
            <w:pPr>
              <w:pStyle w:val="Compact"/>
              <w:jc w:val="left"/>
            </w:pPr>
            <w:r>
              <w:t xml:space="preserve">Within 10 business days</w:t>
            </w:r>
          </w:p>
        </w:tc>
      </w:tr>
      <w:tr>
        <w:tc>
          <w:tcPr/>
          <w:p>
            <w:pPr>
              <w:pStyle w:val="Compact"/>
              <w:jc w:val="left"/>
            </w:pPr>
            <w:r>
              <w:t xml:space="preserve">Upon approval of Conceptual Design</w:t>
            </w:r>
          </w:p>
        </w:tc>
        <w:tc>
          <w:tcPr/>
          <w:p>
            <w:pPr>
              <w:pStyle w:val="Compact"/>
              <w:jc w:val="left"/>
            </w:pPr>
            <w:r>
              <w:t xml:space="preserve">25%</w:t>
            </w:r>
          </w:p>
        </w:tc>
        <w:tc>
          <w:tcPr/>
          <w:p>
            <w:pPr>
              <w:pStyle w:val="Compact"/>
              <w:jc w:val="left"/>
            </w:pPr>
            <w:r>
              <w:t xml:space="preserve">12,125,000</w:t>
            </w:r>
          </w:p>
        </w:tc>
        <w:tc>
          <w:tcPr/>
          <w:p>
            <w:pPr>
              <w:pStyle w:val="Compact"/>
              <w:jc w:val="left"/>
            </w:pPr>
            <w:r>
              <w:t xml:space="preserve">Within 15 business days of approval</w:t>
            </w:r>
          </w:p>
        </w:tc>
      </w:tr>
      <w:tr>
        <w:tc>
          <w:tcPr/>
          <w:p>
            <w:pPr>
              <w:pStyle w:val="Compact"/>
              <w:jc w:val="left"/>
            </w:pPr>
            <w:r>
              <w:t xml:space="preserve">Upon delivery of Construction Documentation</w:t>
            </w:r>
          </w:p>
        </w:tc>
        <w:tc>
          <w:tcPr/>
          <w:p>
            <w:pPr>
              <w:pStyle w:val="Compact"/>
              <w:jc w:val="left"/>
            </w:pPr>
            <w:r>
              <w:t xml:space="preserve">30%</w:t>
            </w:r>
          </w:p>
        </w:tc>
        <w:tc>
          <w:tcPr/>
          <w:p>
            <w:pPr>
              <w:pStyle w:val="Compact"/>
              <w:jc w:val="left"/>
            </w:pPr>
            <w:r>
              <w:t xml:space="preserve">14,550,000</w:t>
            </w:r>
          </w:p>
        </w:tc>
        <w:tc>
          <w:tcPr/>
          <w:p>
            <w:pPr>
              <w:pStyle w:val="Compact"/>
              <w:jc w:val="left"/>
            </w:pPr>
            <w:r>
              <w:t xml:space="preserve">Within 15 business days of delivery</w:t>
            </w:r>
          </w:p>
        </w:tc>
      </w:tr>
      <w:tr>
        <w:tc>
          <w:tcPr/>
          <w:p>
            <w:pPr>
              <w:pStyle w:val="Compact"/>
              <w:jc w:val="left"/>
            </w:pPr>
            <w:r>
              <w:t xml:space="preserve">Monthly during site supervision (18 installments)</w:t>
            </w:r>
          </w:p>
        </w:tc>
        <w:tc>
          <w:tcPr/>
          <w:p>
            <w:pPr>
              <w:pStyle w:val="Compact"/>
              <w:jc w:val="left"/>
            </w:pPr>
            <w:r>
              <w:t xml:space="preserve">20%</w:t>
            </w:r>
          </w:p>
        </w:tc>
        <w:tc>
          <w:tcPr/>
          <w:p>
            <w:pPr>
              <w:pStyle w:val="Compact"/>
              <w:jc w:val="left"/>
            </w:pPr>
            <w:r>
              <w:t xml:space="preserve">9,700,000</w:t>
            </w:r>
          </w:p>
        </w:tc>
        <w:tc>
          <w:tcPr/>
          <w:p>
            <w:pPr>
              <w:pStyle w:val="Compact"/>
              <w:jc w:val="left"/>
            </w:pPr>
            <w:r>
              <w:t xml:space="preserve">Monthly, 5th of each month</w:t>
            </w:r>
          </w:p>
        </w:tc>
      </w:tr>
      <w:tr>
        <w:tc>
          <w:tcPr/>
          <w:p>
            <w:pPr>
              <w:pStyle w:val="Compact"/>
              <w:jc w:val="left"/>
            </w:pPr>
            <w:r>
              <w:t xml:space="preserve">Final payment upon project handover</w:t>
            </w:r>
          </w:p>
        </w:tc>
        <w:tc>
          <w:tcPr/>
          <w:p>
            <w:pPr>
              <w:pStyle w:val="Compact"/>
              <w:jc w:val="left"/>
            </w:pPr>
            <w:r>
              <w:t xml:space="preserve">5%</w:t>
            </w:r>
          </w:p>
        </w:tc>
        <w:tc>
          <w:tcPr/>
          <w:p>
            <w:pPr>
              <w:pStyle w:val="Compact"/>
              <w:jc w:val="left"/>
            </w:pPr>
            <w:r>
              <w:t xml:space="preserve">2,425,000</w:t>
            </w:r>
          </w:p>
        </w:tc>
        <w:tc>
          <w:tcPr/>
          <w:p>
            <w:pPr>
              <w:pStyle w:val="Compact"/>
              <w:jc w:val="left"/>
            </w:pPr>
            <w:r>
              <w:t xml:space="preserve">Within 30 days of handover</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Kazakhstan and the Law of Kazakhstan "On Architectural, Planning and Construction Activity." All disputes arising from this</w:t>
      </w:r>
      <w:r>
        <w:t xml:space="preserve"> </w:t>
      </w:r>
      <w:r>
        <w:t xml:space="preserve">Purchase Order</w:t>
      </w:r>
      <w:r>
        <w:t xml:space="preserve"> </w:t>
      </w:r>
      <w:r>
        <w:t xml:space="preserve">relating to the</w:t>
      </w:r>
      <w:r>
        <w:t xml:space="preserve"> </w:t>
      </w:r>
      <w:r>
        <w:t xml:space="preserve">Architect</w:t>
      </w:r>
      <w:r>
        <w:t xml:space="preserve">'s services in</w:t>
      </w:r>
      <w:r>
        <w:t xml:space="preserve"> </w:t>
      </w:r>
      <w:r>
        <w:t xml:space="preserve">Kazakhstan Almaty</w:t>
      </w:r>
      <w:r>
        <w:t xml:space="preserve"> </w:t>
      </w:r>
      <w:r>
        <w:t xml:space="preserve">shall be resolved through the Almaty City Arbitration Court.</w:t>
      </w:r>
    </w:p>
    <w:p>
      <w:pPr>
        <w:numPr>
          <w:ilvl w:val="0"/>
          <w:numId w:val="1001"/>
        </w:numPr>
        <w:pStyle w:val="Compact"/>
      </w:pPr>
      <w:r>
        <w:rPr>
          <w:bCs/>
          <w:b/>
        </w:rPr>
        <w:t xml:space="preserve">Architect's Obligations:</w:t>
      </w:r>
      <w:r>
        <w:t xml:space="preserve"> </w:t>
      </w:r>
      <w:r>
        <w:t xml:space="preserve">The</w:t>
      </w:r>
      <w:r>
        <w:t xml:space="preserve"> </w:t>
      </w:r>
      <w:r>
        <w:t xml:space="preserve">Architect</w:t>
      </w:r>
      <w:r>
        <w:t xml:space="preserve"> </w:t>
      </w:r>
      <w:r>
        <w:t xml:space="preserve">shall perform all services in strict compliance with the Kazakhstani State Building Codes (SNiP), Almaty municipal zoning regulations, and the specific requirements outlined in this</w:t>
      </w:r>
      <w:r>
        <w:t xml:space="preserve"> </w:t>
      </w:r>
      <w:r>
        <w:t xml:space="preserve">Purchase Order</w:t>
      </w:r>
      <w:r>
        <w:t xml:space="preserve">. The</w:t>
      </w:r>
      <w:r>
        <w:t xml:space="preserve"> </w:t>
      </w:r>
      <w:r>
        <w:t xml:space="preserve">Architect</w:t>
      </w:r>
      <w:r>
        <w:t xml:space="preserve"> </w:t>
      </w:r>
      <w:r>
        <w:t xml:space="preserve">shall maintain professional liability insurance with a minimum coverage of KZT 50,000,000 throughout the duration of the engagement.</w:t>
      </w:r>
    </w:p>
    <w:p>
      <w:pPr>
        <w:numPr>
          <w:ilvl w:val="0"/>
          <w:numId w:val="1001"/>
        </w:numPr>
        <w:pStyle w:val="Compact"/>
      </w:pPr>
      <w:r>
        <w:rPr>
          <w:bCs/>
          <w:b/>
        </w:rPr>
        <w:t xml:space="preserve">Intellectual Property:</w:t>
      </w:r>
      <w:r>
        <w:t xml:space="preserve"> </w:t>
      </w:r>
      <w:r>
        <w:t xml:space="preserve">All architectural drawings, designs, models, and documentation created by the</w:t>
      </w:r>
      <w:r>
        <w:t xml:space="preserve"> </w:t>
      </w:r>
      <w:r>
        <w:t xml:space="preserve">Architect</w:t>
      </w:r>
      <w:r>
        <w:t xml:space="preserve"> </w:t>
      </w:r>
      <w:r>
        <w:t xml:space="preserve">under this</w:t>
      </w:r>
      <w:r>
        <w:t xml:space="preserve"> </w:t>
      </w:r>
      <w:r>
        <w:t xml:space="preserve">Purchase Order</w:t>
      </w:r>
      <w:r>
        <w:t xml:space="preserve"> </w:t>
      </w:r>
      <w:r>
        <w:t xml:space="preserve">for the project in</w:t>
      </w:r>
      <w:r>
        <w:t xml:space="preserve"> </w:t>
      </w:r>
      <w:r>
        <w:t xml:space="preserve">Kazakhstan Almaty</w:t>
      </w:r>
      <w:r>
        <w:t xml:space="preserve"> </w:t>
      </w:r>
      <w:r>
        <w:t xml:space="preserve">shall become the exclusive property of the Purchaser upon full payment. The</w:t>
      </w:r>
      <w:r>
        <w:t xml:space="preserve"> </w:t>
      </w:r>
      <w:r>
        <w:t xml:space="preserve">Architect</w:t>
      </w:r>
      <w:r>
        <w:t xml:space="preserve"> </w:t>
      </w:r>
      <w:r>
        <w:t xml:space="preserve">retains the right to reference the project in professional portfolios with prior written consent.</w:t>
      </w:r>
    </w:p>
    <w:p>
      <w:pPr>
        <w:numPr>
          <w:ilvl w:val="0"/>
          <w:numId w:val="1001"/>
        </w:numPr>
        <w:pStyle w:val="Compact"/>
      </w:pPr>
      <w:r>
        <w:rPr>
          <w:bCs/>
          <w:b/>
        </w:rPr>
        <w:t xml:space="preserve">Timeline:</w:t>
      </w:r>
      <w:r>
        <w:t xml:space="preserve"> </w:t>
      </w:r>
      <w:r>
        <w:t xml:space="preserve">The</w:t>
      </w:r>
      <w:r>
        <w:t xml:space="preserve"> </w:t>
      </w:r>
      <w:r>
        <w:t xml:space="preserve">Architect</w:t>
      </w:r>
      <w:r>
        <w:t xml:space="preserve"> </w:t>
      </w:r>
      <w:r>
        <w:t xml:space="preserve">shall complete all design phases within 6 months from the date of this</w:t>
      </w:r>
      <w:r>
        <w:t xml:space="preserve"> </w:t>
      </w:r>
      <w:r>
        <w:t xml:space="preserve">Purchase Order</w:t>
      </w:r>
      <w:r>
        <w:t xml:space="preserve"> </w:t>
      </w:r>
      <w:r>
        <w:t xml:space="preserve">and provide site supervision for a period of 18 months. Delays attributable to the</w:t>
      </w:r>
      <w:r>
        <w:t xml:space="preserve"> </w:t>
      </w:r>
      <w:r>
        <w:t xml:space="preserve">Architect</w:t>
      </w:r>
      <w:r>
        <w:t xml:space="preserve"> </w:t>
      </w:r>
      <w:r>
        <w:t xml:space="preserve">shall incur a penalty of 0.1% of the total contract value per calendar day of delay.</w:t>
      </w:r>
    </w:p>
    <w:p>
      <w:pPr>
        <w:numPr>
          <w:ilvl w:val="0"/>
          <w:numId w:val="1001"/>
        </w:numPr>
        <w:pStyle w:val="Compact"/>
      </w:pPr>
      <w:r>
        <w:rPr>
          <w:bCs/>
          <w:b/>
        </w:rPr>
        <w:t xml:space="preserve">Revisions:</w:t>
      </w:r>
      <w:r>
        <w:t xml:space="preserve"> </w:t>
      </w:r>
      <w:r>
        <w:t xml:space="preserve">The</w:t>
      </w:r>
      <w:r>
        <w:t xml:space="preserve"> </w:t>
      </w:r>
      <w:r>
        <w:t xml:space="preserve">Architect</w:t>
      </w:r>
      <w:r>
        <w:t xml:space="preserve"> </w:t>
      </w:r>
      <w:r>
        <w:t xml:space="preserve">shall include up to three (3) rounds of design revisions per phase at no additional cost. Additional revisions requested by the Purchaser beyond the included rounds shall be billed at the</w:t>
      </w:r>
      <w:r>
        <w:t xml:space="preserve"> </w:t>
      </w:r>
      <w:r>
        <w:t xml:space="preserve">Architect</w:t>
      </w:r>
      <w:r>
        <w:t xml:space="preserve">'s standard hourly rate of KZT 25,000 per hour.</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w:t>
      </w:r>
      <w:r>
        <w:t xml:space="preserve"> </w:t>
      </w:r>
      <w:r>
        <w:t xml:space="preserve">Kazakhstan Almaty</w:t>
      </w:r>
      <w:r>
        <w:t xml:space="preserve">, government-imposed restrictions, or pandemics, provided that the affected party notifies the other within 72 hours.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Architect</w:t>
      </w:r>
      <w:r>
        <w:t xml:space="preserve"> </w:t>
      </w:r>
      <w:r>
        <w:t xml:space="preserve">shall be compensated for all services rendered up to the termination date, and all completed design documents shall be delivered to the Purchaser.</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terms of this</w:t>
      </w:r>
      <w:r>
        <w:t xml:space="preserve"> </w:t>
      </w:r>
      <w:r>
        <w:t xml:space="preserve">Purchase Order</w:t>
      </w:r>
      <w:r>
        <w:t xml:space="preserve">, and proprietary information exchanged during the engagement of the</w:t>
      </w:r>
      <w:r>
        <w:t xml:space="preserve"> </w:t>
      </w:r>
      <w:r>
        <w:t xml:space="preserve">Architect</w:t>
      </w:r>
      <w:r>
        <w:t xml:space="preserve"> </w:t>
      </w:r>
      <w:r>
        <w:t xml:space="preserve">in</w:t>
      </w:r>
      <w:r>
        <w:t xml:space="preserve"> </w:t>
      </w:r>
      <w:r>
        <w:t xml:space="preserve">Kazakhstan Almaty</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Purchase Order</w:t>
      </w:r>
      <w:r>
        <w:t xml:space="preserve"> </w:t>
      </w:r>
      <w:r>
        <w:t xml:space="preserve">for</w:t>
      </w:r>
      <w:r>
        <w:t xml:space="preserve"> </w:t>
      </w:r>
      <w:r>
        <w:t xml:space="preserve">Architect</w:t>
      </w:r>
      <w:r>
        <w:t xml:space="preserve"> </w:t>
      </w:r>
      <w:r>
        <w:t xml:space="preserve">services in</w:t>
      </w:r>
      <w:r>
        <w:t xml:space="preserve"> </w:t>
      </w:r>
      <w:r>
        <w:t xml:space="preserve">Kazakhstan Almaty</w:t>
      </w:r>
      <w:r>
        <w:t xml:space="preserve"> </w:t>
      </w:r>
      <w:r>
        <w:t xml:space="preserve">has been reviewed, understood, and accepted in its entirety. This document, together with any attached schedules and specifications, forms the complete agreement between the Purchaser and the</w:t>
      </w:r>
      <w:r>
        <w:t xml:space="preserve"> </w:t>
      </w:r>
      <w:r>
        <w:t xml:space="preserve">Architect</w:t>
      </w:r>
      <w:r>
        <w:t xml:space="preserve"> </w:t>
      </w:r>
      <w:r>
        <w:t xml:space="preserve">for the scope of work described herein.</w:t>
      </w:r>
    </w:p>
    <w:bookmarkEnd w:id="25"/>
    <w:p>
      <w:pPr>
        <w:pStyle w:val="BodyText"/>
      </w:pPr>
      <w:r>
        <w:rPr>
          <w:bCs/>
          <w:b/>
        </w:rPr>
        <w:t xml:space="preserve">For and on behalf of the Purchaser:</w:t>
      </w:r>
    </w:p>
    <w:p>
      <w:pPr>
        <w:pStyle w:val="BodyText"/>
      </w:pPr>
      <w:r>
        <w:t xml:space="preserve">Almaty Development Group LLP</w:t>
      </w:r>
    </w:p>
    <w:p>
      <w:pPr>
        <w:pStyle w:val="BodyText"/>
      </w:pPr>
      <w:r>
        <w:t xml:space="preserve">Name: _________________________</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Architect:</w:t>
      </w:r>
    </w:p>
    <w:p>
      <w:pPr>
        <w:pStyle w:val="BodyText"/>
      </w:pPr>
      <w:r>
        <w:t xml:space="preserve">Steppe Design &amp; Architecture Bureau LLP</w:t>
      </w:r>
    </w:p>
    <w:p>
      <w:pPr>
        <w:pStyle w:val="BodyText"/>
      </w:pPr>
      <w:r>
        <w:t xml:space="preserve">Name: _________________________</w:t>
      </w:r>
      <w:r>
        <w:br/>
      </w:r>
      <w:r>
        <w:t xml:space="preserve">Title: Lead Architect / Managing Director</w:t>
      </w:r>
      <w:r>
        <w:br/>
      </w:r>
      <w:r>
        <w:t xml:space="preserve">Signature: _________________________</w:t>
      </w:r>
      <w:r>
        <w:br/>
      </w:r>
      <w:r>
        <w:t xml:space="preserve">Date: _________________________</w:t>
      </w:r>
    </w:p>
    <w:p>
      <w:pPr>
        <w:pStyle w:val="BodyText"/>
      </w:pPr>
      <w:r>
        <w:t xml:space="preserve">This Purchase Order (PO-KZ-ALM-2025-0047) is issued for Architect services in Kazakhstan Almaty. Document generated on 14 June 2025. Page 1 of 1.</w:t>
      </w:r>
    </w:p>
    <w:p>
      <w:pPr>
        <w:pStyle w:val="BodyText"/>
      </w:pPr>
      <w:r>
        <w:t xml:space="preserve">Almaty Development Group LLP — BIC: KZALM001 —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Kazakhstan Almaty</dc:title>
  <dc:creator/>
  <dc:language>en</dc:language>
  <cp:keywords/>
  <dcterms:created xsi:type="dcterms:W3CDTF">2026-10-10T04:06:04Z</dcterms:created>
  <dcterms:modified xsi:type="dcterms:W3CDTF">2026-10-10T04:06:04Z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