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purchase-order"/>
    <w:p>
      <w:pPr>
        <w:pStyle w:val="Heading1"/>
      </w:pPr>
      <w:r>
        <w:t xml:space="preserve">PURCHASE ORDER</w:t>
      </w:r>
    </w:p>
    <w:p>
      <w:pPr>
        <w:pStyle w:val="FirstParagraph"/>
      </w:pPr>
      <w:r>
        <w:t xml:space="preserve">Architectural Design &amp; Professional Services — Kenya Nairobi</w:t>
      </w:r>
    </w:p>
    <w:p>
      <w:pPr>
        <w:pStyle w:val="BodyText"/>
      </w:pPr>
      <w:r>
        <w:rPr>
          <w:bCs/>
          <w:b/>
        </w:rPr>
        <w:t xml:space="preserve">Ref: PO/NBO/ARC/2025/0047</w:t>
      </w:r>
    </w:p>
    <w:bookmarkEnd w:id="20"/>
    <w:p>
      <w:pPr>
        <w:pStyle w:val="BodyText"/>
      </w:pPr>
      <w:r>
        <w:rPr>
          <w:bCs/>
          <w:b/>
        </w:rPr>
        <w:t xml:space="preserve">Purchase Order Number:</w:t>
      </w:r>
      <w:r>
        <w:t xml:space="preserve"> </w:t>
      </w:r>
      <w:r>
        <w:t xml:space="preserve">PO/NBO/ARC/2025/0047</w:t>
      </w:r>
    </w:p>
    <w:p>
      <w:pPr>
        <w:pStyle w:val="BodyText"/>
      </w:pPr>
      <w:r>
        <w:rPr>
          <w:bCs/>
          <w:b/>
        </w:rPr>
        <w:t xml:space="preserve">Date of Issue:</w:t>
      </w:r>
      <w:r>
        <w:t xml:space="preserve"> </w:t>
      </w:r>
      <w:r>
        <w:t xml:space="preserve">14 June 2025</w:t>
      </w:r>
    </w:p>
    <w:p>
      <w:pPr>
        <w:pStyle w:val="BodyText"/>
      </w:pPr>
      <w:r>
        <w:rPr>
          <w:bCs/>
          <w:b/>
        </w:rPr>
        <w:t xml:space="preserve">Place of Issue:</w:t>
      </w:r>
      <w:r>
        <w:t xml:space="preserve"> </w:t>
      </w:r>
      <w:r>
        <w:t xml:space="preserve">Nairobi, Kenya</w:t>
      </w:r>
    </w:p>
    <w:p>
      <w:pPr>
        <w:pStyle w:val="BodyText"/>
      </w:pPr>
      <w:r>
        <w:rPr>
          <w:bCs/>
          <w:b/>
        </w:rPr>
        <w:t xml:space="preserve">Valid Until:</w:t>
      </w:r>
      <w:r>
        <w:t xml:space="preserve"> </w:t>
      </w:r>
      <w:r>
        <w:t xml:space="preserve">14 July 2025</w:t>
      </w:r>
    </w:p>
    <w:p>
      <w:pPr>
        <w:pStyle w:val="BodyText"/>
      </w:pPr>
      <w:r>
        <w:rPr>
          <w:bCs/>
          <w:b/>
        </w:rPr>
        <w:t xml:space="preserve">Issued By:</w:t>
      </w:r>
      <w:r>
        <w:t xml:space="preserve"> </w:t>
      </w:r>
      <w:r>
        <w:t xml:space="preserve">Eastgate Properties Ltd.</w:t>
      </w:r>
    </w:p>
    <w:p>
      <w:pPr>
        <w:pStyle w:val="BodyText"/>
      </w:pPr>
      <w:r>
        <w:rPr>
          <w:bCs/>
          <w:b/>
        </w:rPr>
        <w:t xml:space="preserve">Address:</w:t>
      </w:r>
      <w:r>
        <w:t xml:space="preserve"> </w:t>
      </w:r>
      <w:r>
        <w:t xml:space="preserve">4th Floor, Eastgate Business Centre, Waiyaki Way, Nairobi, Kenya</w:t>
      </w:r>
    </w:p>
    <w:p>
      <w:pPr>
        <w:pStyle w:val="BodyText"/>
      </w:pPr>
      <w:r>
        <w:rPr>
          <w:bCs/>
          <w:b/>
        </w:rPr>
        <w:t xml:space="preserve">PIN:</w:t>
      </w:r>
      <w:r>
        <w:t xml:space="preserve"> </w:t>
      </w:r>
      <w:r>
        <w:t xml:space="preserve">P051234567X</w:t>
      </w:r>
    </w:p>
    <w:p>
      <w:pPr>
        <w:pStyle w:val="BodyText"/>
      </w:pPr>
      <w:r>
        <w:rPr>
          <w:bCs/>
          <w:b/>
        </w:rPr>
        <w:t xml:space="preserve">Contact:</w:t>
      </w:r>
      <w:r>
        <w:t xml:space="preserve"> </w:t>
      </w:r>
      <w:r>
        <w:t xml:space="preserve">procurement@eastgateproperties.co.ke</w:t>
      </w:r>
    </w:p>
    <w:p>
      <w:pPr>
        <w:pStyle w:val="BodyText"/>
      </w:pPr>
      <w:r>
        <w:t xml:space="preserve">1. ARCHITECT / VENDOR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Architect Firm Name</w:t>
            </w:r>
          </w:p>
        </w:tc>
        <w:tc>
          <w:tcPr/>
          <w:p>
            <w:pPr>
              <w:pStyle w:val="Compact"/>
              <w:jc w:val="left"/>
            </w:pPr>
            <w:r>
              <w:t xml:space="preserve">Savanna Design &amp; Build Architects Ltd.</w:t>
            </w:r>
          </w:p>
        </w:tc>
      </w:tr>
      <w:tr>
        <w:tc>
          <w:tcPr/>
          <w:p>
            <w:pPr>
              <w:pStyle w:val="Compact"/>
              <w:jc w:val="left"/>
            </w:pPr>
            <w:r>
              <w:rPr>
                <w:bCs/>
                <w:b/>
              </w:rPr>
              <w:t xml:space="preserve">Principal Architect</w:t>
            </w:r>
          </w:p>
        </w:tc>
        <w:tc>
          <w:tcPr/>
          <w:p>
            <w:pPr>
              <w:pStyle w:val="Compact"/>
              <w:jc w:val="left"/>
            </w:pPr>
            <w:r>
              <w:t xml:space="preserve">Mr. David Mwangi, RIBA / ARB Registered Architect</w:t>
            </w:r>
          </w:p>
        </w:tc>
      </w:tr>
      <w:tr>
        <w:tc>
          <w:tcPr/>
          <w:p>
            <w:pPr>
              <w:pStyle w:val="Compact"/>
              <w:jc w:val="left"/>
            </w:pPr>
            <w:r>
              <w:rPr>
                <w:bCs/>
                <w:b/>
              </w:rPr>
              <w:t xml:space="preserve">Address</w:t>
            </w:r>
          </w:p>
        </w:tc>
        <w:tc>
          <w:tcPr/>
          <w:p>
            <w:pPr>
              <w:pStyle w:val="Compact"/>
              <w:jc w:val="left"/>
            </w:pPr>
            <w:r>
              <w:t xml:space="preserve">Suite 12, Kencom House, Moi Avenue, Nairobi, Kenya</w:t>
            </w:r>
          </w:p>
        </w:tc>
      </w:tr>
      <w:tr>
        <w:tc>
          <w:tcPr/>
          <w:p>
            <w:pPr>
              <w:pStyle w:val="Compact"/>
              <w:jc w:val="left"/>
            </w:pPr>
            <w:r>
              <w:rPr>
                <w:bCs/>
                <w:b/>
              </w:rPr>
              <w:t xml:space="preserve">Registration No.</w:t>
            </w:r>
          </w:p>
        </w:tc>
        <w:tc>
          <w:tcPr/>
          <w:p>
            <w:pPr>
              <w:pStyle w:val="Compact"/>
              <w:jc w:val="left"/>
            </w:pPr>
            <w:r>
              <w:t xml:space="preserve">KEA/2019/00847 (Kenya Institute of Architects)</w:t>
            </w:r>
          </w:p>
        </w:tc>
      </w:tr>
      <w:tr>
        <w:tc>
          <w:tcPr/>
          <w:p>
            <w:pPr>
              <w:pStyle w:val="Compact"/>
              <w:jc w:val="left"/>
            </w:pPr>
            <w:r>
              <w:rPr>
                <w:bCs/>
                <w:b/>
              </w:rPr>
              <w:t xml:space="preserve">PIN / KRA</w:t>
            </w:r>
          </w:p>
        </w:tc>
        <w:tc>
          <w:tcPr/>
          <w:p>
            <w:pPr>
              <w:pStyle w:val="Compact"/>
              <w:jc w:val="left"/>
            </w:pPr>
            <w:r>
              <w:t xml:space="preserve">P059876543X</w:t>
            </w:r>
          </w:p>
        </w:tc>
      </w:tr>
      <w:tr>
        <w:tc>
          <w:tcPr/>
          <w:p>
            <w:pPr>
              <w:pStyle w:val="Compact"/>
              <w:jc w:val="left"/>
            </w:pPr>
            <w:r>
              <w:rPr>
                <w:bCs/>
                <w:b/>
              </w:rPr>
              <w:t xml:space="preserve">Bank Details</w:t>
            </w:r>
          </w:p>
        </w:tc>
        <w:tc>
          <w:tcPr/>
          <w:p>
            <w:pPr>
              <w:pStyle w:val="Compact"/>
              <w:jc w:val="left"/>
            </w:pPr>
            <w:r>
              <w:t xml:space="preserve">Equity Bank, Branch: Westlands, Nairobi — A/C: 0123456789</w:t>
            </w:r>
          </w:p>
        </w:tc>
      </w:tr>
      <w:tr>
        <w:tc>
          <w:tcPr/>
          <w:p>
            <w:pPr>
              <w:pStyle w:val="Compact"/>
              <w:jc w:val="left"/>
            </w:pPr>
            <w:r>
              <w:rPr>
                <w:bCs/>
                <w:b/>
              </w:rPr>
              <w:t xml:space="preserve">Contact</w:t>
            </w:r>
          </w:p>
        </w:tc>
        <w:tc>
          <w:tcPr/>
          <w:p>
            <w:pPr>
              <w:pStyle w:val="Compact"/>
              <w:jc w:val="left"/>
            </w:pPr>
            <w:r>
              <w:t xml:space="preserve">info@savannadesign.co.ke | +254 722 345 678</w:t>
            </w:r>
          </w:p>
        </w:tc>
      </w:tr>
    </w:tbl>
    <w:p>
      <w:pPr>
        <w:pStyle w:val="BodyText"/>
      </w:pPr>
      <w:r>
        <w:t xml:space="preserve">2. DESCRIPTION OF ARCHITECTURAL SERVICES — NAIROBI, KENYA</w:t>
      </w:r>
    </w:p>
    <w:p>
      <w:pPr>
        <w:pStyle w:val="BodyText"/>
      </w:pPr>
      <w:r>
        <w:t xml:space="preserve">This Purchase Order is issued by Eastgate Properties Ltd. to engage the above-named</w:t>
      </w:r>
      <w:r>
        <w:t xml:space="preserve"> </w:t>
      </w:r>
      <w:r>
        <w:t xml:space="preserve">Architect</w:t>
      </w:r>
      <w:r>
        <w:t xml:space="preserve"> </w:t>
      </w:r>
      <w:r>
        <w:t xml:space="preserve">firm to provide comprehensive architectural design, planning, and project management services for the construction of a six-storey mixed-use commercial and residential building located at</w:t>
      </w:r>
      <w:r>
        <w:t xml:space="preserve"> </w:t>
      </w:r>
      <w:r>
        <w:t xml:space="preserve">Nairobi</w:t>
      </w:r>
      <w:r>
        <w:t xml:space="preserve">, Kenya (Plot L.R. Vol. 12345, Folio 678, Westlands, Nairobi). The</w:t>
      </w:r>
      <w:r>
        <w:t xml:space="preserve"> </w:t>
      </w:r>
      <w:r>
        <w:t xml:space="preserve">Architect</w:t>
      </w:r>
      <w:r>
        <w:t xml:space="preserve"> </w:t>
      </w:r>
      <w:r>
        <w:t xml:space="preserve">shall be responsible for all design phases in full compliance with the National Environment Management and Coordination Act (NEMA), the Physical and Land Use Planning Act (Cap. 286), the Building Code of Kenya, and all applicable regulations of the</w:t>
      </w:r>
      <w:r>
        <w:t xml:space="preserve"> </w:t>
      </w:r>
      <w:r>
        <w:t xml:space="preserve">Nairobi</w:t>
      </w:r>
      <w:r>
        <w:t xml:space="preserve"> </w:t>
      </w:r>
      <w:r>
        <w:t xml:space="preserve">City County Government (NCCG) Building Department.</w:t>
      </w:r>
    </w:p>
    <w:p>
      <w:pPr>
        <w:pStyle w:val="BodyText"/>
      </w:pPr>
      <w:r>
        <w:t xml:space="preserve">3. LINE ITEMS &amp; PRICING (All amounts in Kenyan Shillings — KES)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Architectural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Amount (KES)</w:t>
            </w:r>
          </w:p>
        </w:tc>
      </w:tr>
      <w:tr>
        <w:tc>
          <w:tcPr/>
          <w:p>
            <w:pPr>
              <w:pStyle w:val="Compact"/>
              <w:jc w:val="left"/>
            </w:pPr>
            <w:r>
              <w:t xml:space="preserve">1</w:t>
            </w:r>
          </w:p>
        </w:tc>
        <w:tc>
          <w:tcPr/>
          <w:p>
            <w:pPr>
              <w:pStyle w:val="Compact"/>
              <w:jc w:val="left"/>
            </w:pPr>
            <w:r>
              <w:t xml:space="preserve">Feasibility Study &amp; Site Analysis for the Nairobi, Kenya project site including topographical survey review, soil report interpretation, and zoning compliance assessment under NCCG regulations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450,000.00</w:t>
            </w:r>
          </w:p>
        </w:tc>
      </w:tr>
      <w:tr>
        <w:tc>
          <w:tcPr/>
          <w:p>
            <w:pPr>
              <w:pStyle w:val="Compact"/>
              <w:jc w:val="left"/>
            </w:pPr>
            <w:r>
              <w:t xml:space="preserve">2</w:t>
            </w:r>
          </w:p>
        </w:tc>
        <w:tc>
          <w:tcPr/>
          <w:p>
            <w:pPr>
              <w:pStyle w:val="Compact"/>
              <w:jc w:val="left"/>
            </w:pPr>
            <w:r>
              <w:t xml:space="preserve">Concept Design &amp; Schematic Design Phase — Architect to produce 3D massing studies, preliminary floor plans, elevations, and site layout drawings for the six-storey building in Nairobi</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1,200,000.00</w:t>
            </w:r>
          </w:p>
        </w:tc>
      </w:tr>
      <w:tr>
        <w:tc>
          <w:tcPr/>
          <w:p>
            <w:pPr>
              <w:pStyle w:val="Compact"/>
              <w:jc w:val="left"/>
            </w:pPr>
            <w:r>
              <w:t xml:space="preserve">3</w:t>
            </w:r>
          </w:p>
        </w:tc>
        <w:tc>
          <w:tcPr/>
          <w:p>
            <w:pPr>
              <w:pStyle w:val="Compact"/>
              <w:jc w:val="left"/>
            </w:pPr>
            <w:r>
              <w:t xml:space="preserve">Detailed Design &amp; Working Drawings — Full set of architectural working drawings (A1 size), specifications, and BOQ preparation compliant with the Kenya Building Code and NCCG building permit requirements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2,800,000.00</w:t>
            </w:r>
          </w:p>
        </w:tc>
      </w:tr>
      <w:tr>
        <w:tc>
          <w:tcPr/>
          <w:p>
            <w:pPr>
              <w:pStyle w:val="Compact"/>
              <w:jc w:val="left"/>
            </w:pPr>
            <w:r>
              <w:t xml:space="preserve">4</w:t>
            </w:r>
          </w:p>
        </w:tc>
        <w:tc>
          <w:tcPr/>
          <w:p>
            <w:pPr>
              <w:pStyle w:val="Compact"/>
              <w:jc w:val="left"/>
            </w:pPr>
            <w:r>
              <w:t xml:space="preserve">Building Permit Application &amp; NCCG Submission — Architect to prepare, submit, and follow up on all building permit applications with the Nairobi City County Government Building Department and NEMA EIA coordination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350,000.00</w:t>
            </w:r>
          </w:p>
        </w:tc>
      </w:tr>
      <w:tr>
        <w:tc>
          <w:tcPr/>
          <w:p>
            <w:pPr>
              <w:pStyle w:val="Compact"/>
              <w:jc w:val="left"/>
            </w:pPr>
            <w:r>
              <w:t xml:space="preserve">5</w:t>
            </w:r>
          </w:p>
        </w:tc>
        <w:tc>
          <w:tcPr/>
          <w:p>
            <w:pPr>
              <w:pStyle w:val="Compact"/>
              <w:jc w:val="left"/>
            </w:pPr>
            <w:r>
              <w:t xml:space="preserve">Construction Phase Supervision &amp; Site Visits — Architect to conduct bi-weekly site inspections at the Nairobi construction site, issue site instructions, review shop drawings, and certify progress for payment</w:t>
            </w:r>
          </w:p>
        </w:tc>
        <w:tc>
          <w:tcPr/>
          <w:p>
            <w:pPr>
              <w:pStyle w:val="Compact"/>
              <w:jc w:val="left"/>
            </w:pPr>
            <w:r>
              <w:t xml:space="preserve">Per Month</w:t>
            </w:r>
          </w:p>
        </w:tc>
        <w:tc>
          <w:tcPr/>
          <w:p>
            <w:pPr>
              <w:pStyle w:val="Compact"/>
              <w:jc w:val="left"/>
            </w:pPr>
            <w:r>
              <w:t xml:space="preserve">18</w:t>
            </w:r>
          </w:p>
        </w:tc>
        <w:tc>
          <w:tcPr/>
          <w:p>
            <w:pPr>
              <w:pStyle w:val="Compact"/>
              <w:jc w:val="left"/>
            </w:pPr>
            <w:r>
              <w:t xml:space="preserve">1,500,000.00</w:t>
            </w:r>
          </w:p>
        </w:tc>
      </w:tr>
      <w:tr>
        <w:tc>
          <w:tcPr/>
          <w:p>
            <w:pPr>
              <w:pStyle w:val="Compact"/>
              <w:jc w:val="left"/>
            </w:pPr>
            <w:r>
              <w:t xml:space="preserve">6</w:t>
            </w:r>
          </w:p>
        </w:tc>
        <w:tc>
          <w:tcPr/>
          <w:p>
            <w:pPr>
              <w:pStyle w:val="Compact"/>
              <w:jc w:val="left"/>
            </w:pPr>
            <w:r>
              <w:t xml:space="preserve">As-Built Drawings &amp; Handover Documentation — Final set of as-built architectural drawings, O&amp;M manuals, and completion certificates for the Nairobi project</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400,000.00</w:t>
            </w:r>
          </w:p>
        </w:tc>
      </w:tr>
      <w:tr>
        <w:tc>
          <w:tcPr>
            <w:gridSpan w:val="4"/>
          </w:tcPr>
          <w:p>
            <w:pPr>
              <w:pStyle w:val="Compact"/>
              <w:jc w:val="right"/>
            </w:pPr>
            <w:r>
              <w:t xml:space="preserve">Subtotal</w:t>
            </w:r>
          </w:p>
        </w:tc>
        <w:tc>
          <w:tcPr/>
          <w:p>
            <w:pPr>
              <w:pStyle w:val="Compact"/>
              <w:jc w:val="left"/>
            </w:pPr>
            <w:r>
              <w:t xml:space="preserve">6,700,000.00</w:t>
            </w:r>
          </w:p>
        </w:tc>
      </w:tr>
      <w:tr>
        <w:tc>
          <w:tcPr>
            <w:gridSpan w:val="4"/>
          </w:tcPr>
          <w:p>
            <w:pPr>
              <w:pStyle w:val="Compact"/>
              <w:jc w:val="right"/>
            </w:pPr>
            <w:r>
              <w:t xml:space="preserve">VAT @ 16% (Kenya Revenue Authority)</w:t>
            </w:r>
          </w:p>
        </w:tc>
        <w:tc>
          <w:tcPr/>
          <w:p>
            <w:pPr>
              <w:pStyle w:val="Compact"/>
              <w:jc w:val="left"/>
            </w:pPr>
            <w:r>
              <w:t xml:space="preserve">1,072,000.00</w:t>
            </w:r>
          </w:p>
        </w:tc>
      </w:tr>
      <w:tr>
        <w:tc>
          <w:tcPr>
            <w:gridSpan w:val="4"/>
          </w:tcPr>
          <w:p>
            <w:pPr>
              <w:pStyle w:val="Compact"/>
              <w:jc w:val="right"/>
            </w:pPr>
            <w:r>
              <w:rPr>
                <w:bCs/>
                <w:b/>
              </w:rPr>
              <w:t xml:space="preserve">TOTAL PURCHASE ORDER VALUE</w:t>
            </w:r>
          </w:p>
        </w:tc>
        <w:tc>
          <w:tcPr/>
          <w:p>
            <w:pPr>
              <w:pStyle w:val="Compact"/>
              <w:jc w:val="left"/>
            </w:pPr>
            <w:r>
              <w:rPr>
                <w:bCs/>
                <w:b/>
              </w:rPr>
              <w:t xml:space="preserve">7,772,000.00</w:t>
            </w:r>
          </w:p>
        </w:tc>
      </w:tr>
    </w:tbl>
    <w:p>
      <w:pPr>
        <w:pStyle w:val="BodyText"/>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Kenya. Any disputes arising from this Purchase Order relating to the Architect's services in Nairobi, Kenya shall be resolved through arbitration under the Arbitration Act, 1995 (Cap. 49), with the seat of arbitration in Nairobi.</w:t>
      </w:r>
    </w:p>
    <w:p>
      <w:pPr>
        <w:numPr>
          <w:ilvl w:val="0"/>
          <w:numId w:val="1001"/>
        </w:numPr>
        <w:pStyle w:val="Compact"/>
      </w:pPr>
      <w:r>
        <w:rPr>
          <w:bCs/>
          <w:b/>
        </w:rPr>
        <w:t xml:space="preserve">Payment Terms:</w:t>
      </w:r>
      <w:r>
        <w:t xml:space="preserve"> </w:t>
      </w:r>
      <w:r>
        <w:t xml:space="preserve">Payment shall be made within thirty (30) days of receipt of a valid tax invoice from the Architect. Milestone payments are structured as follows: 20% upon signing, 30% upon approval of Detailed Design, 40% in equal monthly instalments during the Construction Phase, and 10% upon delivery of As-Built Drawings. All payments shall be made via bank transfer to the Architect's designated account in Nairobi.</w:t>
      </w:r>
    </w:p>
    <w:p>
      <w:pPr>
        <w:numPr>
          <w:ilvl w:val="0"/>
          <w:numId w:val="1001"/>
        </w:numPr>
        <w:pStyle w:val="Compact"/>
      </w:pPr>
      <w:r>
        <w:rPr>
          <w:bCs/>
          <w:b/>
        </w:rPr>
        <w:t xml:space="preserve">Compliance:</w:t>
      </w:r>
      <w:r>
        <w:t xml:space="preserve"> </w:t>
      </w:r>
      <w:r>
        <w:t xml:space="preserve">The Architect warrants that all deliverables shall comply with the Kenya Building Code, NCCG Development Control Regulations, NEMA requirements, and the Standards of Kenya (SKS) as applicable to the Nairobi metropolitan area. The Architect shall hold a valid Practising Certificate issued by the Kenya Institute of Architects (KIA) for the duration of this engagement.</w:t>
      </w:r>
    </w:p>
    <w:p>
      <w:pPr>
        <w:numPr>
          <w:ilvl w:val="0"/>
          <w:numId w:val="1001"/>
        </w:numPr>
        <w:pStyle w:val="Compact"/>
      </w:pPr>
      <w:r>
        <w:rPr>
          <w:bCs/>
          <w:b/>
        </w:rPr>
        <w:t xml:space="preserve">Intellectual Property:</w:t>
      </w:r>
      <w:r>
        <w:t xml:space="preserve"> </w:t>
      </w:r>
      <w:r>
        <w:t xml:space="preserve">All architectural drawings, designs, models, and documentation produced under this Purchase Order for the Nairobi project shall become the exclusive property of Eastgate Properties Ltd. upon full payment. The Architect retains the right to use the work for portfolio purposes with prior written consent.</w:t>
      </w:r>
    </w:p>
    <w:p>
      <w:pPr>
        <w:numPr>
          <w:ilvl w:val="0"/>
          <w:numId w:val="1001"/>
        </w:numPr>
        <w:pStyle w:val="Compact"/>
      </w:pPr>
      <w:r>
        <w:rPr>
          <w:bCs/>
          <w:b/>
        </w:rPr>
        <w:t xml:space="preserve">Insurance &amp; Indemnity:</w:t>
      </w:r>
      <w:r>
        <w:t xml:space="preserve"> </w:t>
      </w:r>
      <w:r>
        <w:t xml:space="preserve">The Architect shall maintain Professional Indemnity Insurance of not less than KES 10,000,000 for the duration of the project and shall indemnify the Client against any claims arising from design errors, omissions, or professional negligence in the Nairobi project.</w:t>
      </w:r>
    </w:p>
    <w:p>
      <w:pPr>
        <w:numPr>
          <w:ilvl w:val="0"/>
          <w:numId w:val="1001"/>
        </w:numPr>
        <w:pStyle w:val="Compact"/>
      </w:pPr>
      <w:r>
        <w:rPr>
          <w:bCs/>
          <w:b/>
        </w:rPr>
        <w:t xml:space="preserve">Termination:</w:t>
      </w:r>
      <w:r>
        <w:t xml:space="preserve"> </w:t>
      </w:r>
      <w:r>
        <w:t xml:space="preserve">Either party may terminate this Purchase Order by giving thirty (30) days' written notice. In the event of termination, the Architect shall be compensated for all services rendered up to the date of termination, and all work-in-progress drawings for the Nairobi site shall be handed over.</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policy changes in Nairobi, or civil unrest, provided written notice is given within seven (7) days of the event.</w:t>
      </w:r>
    </w:p>
    <w:p>
      <w:pPr>
        <w:numPr>
          <w:ilvl w:val="0"/>
          <w:numId w:val="1001"/>
        </w:numPr>
        <w:pStyle w:val="Compact"/>
      </w:pPr>
      <w:r>
        <w:rPr>
          <w:bCs/>
          <w:b/>
        </w:rPr>
        <w:t xml:space="preserve">Confidentiality:</w:t>
      </w:r>
      <w:r>
        <w:t xml:space="preserve"> </w:t>
      </w:r>
      <w:r>
        <w:t xml:space="preserve">The Architect shall treat all project information, site data, and commercial details of the Nairobi development as strictly confidential and shall not disclose them to any third party without written consent from Eastgate Properties Ltd.</w:t>
      </w:r>
    </w:p>
    <w:p>
      <w:pPr>
        <w:numPr>
          <w:ilvl w:val="0"/>
          <w:numId w:val="1001"/>
        </w:numPr>
        <w:pStyle w:val="Compact"/>
      </w:pPr>
      <w:r>
        <w:rPr>
          <w:bCs/>
          <w:b/>
        </w:rPr>
        <w:t xml:space="preserve">Subcontracting:</w:t>
      </w:r>
      <w:r>
        <w:t xml:space="preserve"> </w:t>
      </w:r>
      <w:r>
        <w:t xml:space="preserve">The Architect shall not subcontract any portion of the architectural services without prior written approval from the Client. Any approved subcontractor shall be based in or operate within Kenya, Nairobi, and shall be bound by the same terms as this Purchase Order.</w:t>
      </w:r>
    </w:p>
    <w:p>
      <w:pPr>
        <w:numPr>
          <w:ilvl w:val="0"/>
          <w:numId w:val="1001"/>
        </w:numPr>
        <w:pStyle w:val="Compact"/>
      </w:pPr>
      <w:r>
        <w:rPr>
          <w:bCs/>
          <w:b/>
        </w:rPr>
        <w:t xml:space="preserve">Tax Compliance:</w:t>
      </w:r>
      <w:r>
        <w:t xml:space="preserve"> </w:t>
      </w:r>
      <w:r>
        <w:t xml:space="preserve">The Architect shall ensure all applicable Kenyan taxes, including VAT, Withholding Tax (WHT) at 5% on professional services, and any local authority levies applicable in Nairobi, are correctly declared and remitted to the Kenya Revenue Authority (KRA).</w:t>
      </w:r>
    </w:p>
    <w:p>
      <w:pPr>
        <w:pStyle w:val="FirstParagraph"/>
      </w:pPr>
      <w:r>
        <w:t xml:space="preserve">5. PROJECT TIMELINE — NAIROBI, KENYA</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Start Date</w:t>
            </w:r>
          </w:p>
        </w:tc>
        <w:tc>
          <w:tcPr/>
          <w:p>
            <w:pPr>
              <w:pStyle w:val="Compact"/>
              <w:jc w:val="left"/>
            </w:pPr>
            <w:r>
              <w:t xml:space="preserve">Completion Date</w:t>
            </w:r>
          </w:p>
        </w:tc>
        <w:tc>
          <w:tcPr/>
          <w:p>
            <w:pPr>
              <w:pStyle w:val="Compact"/>
              <w:jc w:val="left"/>
            </w:pPr>
            <w:r>
              <w:t xml:space="preserve">Deliverable</w:t>
            </w:r>
          </w:p>
        </w:tc>
      </w:tr>
      <w:tr>
        <w:tc>
          <w:tcPr/>
          <w:p>
            <w:pPr>
              <w:pStyle w:val="Compact"/>
              <w:jc w:val="left"/>
            </w:pPr>
            <w:r>
              <w:t xml:space="preserve">Feasibility &amp; Site Analysis</w:t>
            </w:r>
          </w:p>
        </w:tc>
        <w:tc>
          <w:tcPr/>
          <w:p>
            <w:pPr>
              <w:pStyle w:val="Compact"/>
              <w:jc w:val="left"/>
            </w:pPr>
            <w:r>
              <w:t xml:space="preserve">20 June 2025</w:t>
            </w:r>
          </w:p>
        </w:tc>
        <w:tc>
          <w:tcPr/>
          <w:p>
            <w:pPr>
              <w:pStyle w:val="Compact"/>
              <w:jc w:val="left"/>
            </w:pPr>
            <w:r>
              <w:t xml:space="preserve">15 July 2025</w:t>
            </w:r>
          </w:p>
        </w:tc>
        <w:tc>
          <w:tcPr/>
          <w:p>
            <w:pPr>
              <w:pStyle w:val="Compact"/>
              <w:jc w:val="left"/>
            </w:pPr>
            <w:r>
              <w:t xml:space="preserve">Feasibility Report</w:t>
            </w:r>
          </w:p>
        </w:tc>
      </w:tr>
      <w:tr>
        <w:tc>
          <w:tcPr/>
          <w:p>
            <w:pPr>
              <w:pStyle w:val="Compact"/>
              <w:jc w:val="left"/>
            </w:pPr>
            <w:r>
              <w:t xml:space="preserve">Concept &amp; Schematic Design</w:t>
            </w:r>
          </w:p>
        </w:tc>
        <w:tc>
          <w:tcPr/>
          <w:p>
            <w:pPr>
              <w:pStyle w:val="Compact"/>
              <w:jc w:val="left"/>
            </w:pPr>
            <w:r>
              <w:t xml:space="preserve">16 July 2025</w:t>
            </w:r>
          </w:p>
        </w:tc>
        <w:tc>
          <w:tcPr/>
          <w:p>
            <w:pPr>
              <w:pStyle w:val="Compact"/>
              <w:jc w:val="left"/>
            </w:pPr>
            <w:r>
              <w:t xml:space="preserve">30 August 2025</w:t>
            </w:r>
          </w:p>
        </w:tc>
        <w:tc>
          <w:tcPr/>
          <w:p>
            <w:pPr>
              <w:pStyle w:val="Compact"/>
              <w:jc w:val="left"/>
            </w:pPr>
            <w:r>
              <w:t xml:space="preserve">Schematic Drawings &amp; 3D Models</w:t>
            </w:r>
          </w:p>
        </w:tc>
      </w:tr>
      <w:tr>
        <w:tc>
          <w:tcPr/>
          <w:p>
            <w:pPr>
              <w:pStyle w:val="Compact"/>
              <w:jc w:val="left"/>
            </w:pPr>
            <w:r>
              <w:t xml:space="preserve">Detailed Design &amp; Working Drawings</w:t>
            </w:r>
          </w:p>
        </w:tc>
        <w:tc>
          <w:tcPr/>
          <w:p>
            <w:pPr>
              <w:pStyle w:val="Compact"/>
              <w:jc w:val="left"/>
            </w:pPr>
            <w:r>
              <w:t xml:space="preserve">1 September 2025</w:t>
            </w:r>
          </w:p>
        </w:tc>
        <w:tc>
          <w:tcPr/>
          <w:p>
            <w:pPr>
              <w:pStyle w:val="Compact"/>
              <w:jc w:val="left"/>
            </w:pPr>
            <w:r>
              <w:t xml:space="preserve">30 November 2025</w:t>
            </w:r>
          </w:p>
        </w:tc>
        <w:tc>
          <w:tcPr/>
          <w:p>
            <w:pPr>
              <w:pStyle w:val="Compact"/>
              <w:jc w:val="left"/>
            </w:pPr>
            <w:r>
              <w:t xml:space="preserve">Full Working Drawing Set</w:t>
            </w:r>
          </w:p>
        </w:tc>
      </w:tr>
      <w:tr>
        <w:tc>
          <w:tcPr/>
          <w:p>
            <w:pPr>
              <w:pStyle w:val="Compact"/>
              <w:jc w:val="left"/>
            </w:pPr>
            <w:r>
              <w:t xml:space="preserve">NCCG Permit Submission</w:t>
            </w:r>
          </w:p>
        </w:tc>
        <w:tc>
          <w:tcPr/>
          <w:p>
            <w:pPr>
              <w:pStyle w:val="Compact"/>
              <w:jc w:val="left"/>
            </w:pPr>
            <w:r>
              <w:t xml:space="preserve">1 December 2025</w:t>
            </w:r>
          </w:p>
        </w:tc>
        <w:tc>
          <w:tcPr/>
          <w:p>
            <w:pPr>
              <w:pStyle w:val="Compact"/>
              <w:jc w:val="left"/>
            </w:pPr>
            <w:r>
              <w:t xml:space="preserve">31 January 2026</w:t>
            </w:r>
          </w:p>
        </w:tc>
        <w:tc>
          <w:tcPr/>
          <w:p>
            <w:pPr>
              <w:pStyle w:val="Compact"/>
              <w:jc w:val="left"/>
            </w:pPr>
            <w:r>
              <w:t xml:space="preserve">Building Permit (Nairobi)</w:t>
            </w:r>
          </w:p>
        </w:tc>
      </w:tr>
      <w:tr>
        <w:tc>
          <w:tcPr/>
          <w:p>
            <w:pPr>
              <w:pStyle w:val="Compact"/>
              <w:jc w:val="left"/>
            </w:pPr>
            <w:r>
              <w:t xml:space="preserve">Construction Supervision</w:t>
            </w:r>
          </w:p>
        </w:tc>
        <w:tc>
          <w:tcPr/>
          <w:p>
            <w:pPr>
              <w:pStyle w:val="Compact"/>
              <w:jc w:val="left"/>
            </w:pPr>
            <w:r>
              <w:t xml:space="preserve">1 February 2026</w:t>
            </w:r>
          </w:p>
        </w:tc>
        <w:tc>
          <w:tcPr/>
          <w:p>
            <w:pPr>
              <w:pStyle w:val="Compact"/>
              <w:jc w:val="left"/>
            </w:pPr>
            <w:r>
              <w:t xml:space="preserve">31 July 2027</w:t>
            </w:r>
          </w:p>
        </w:tc>
        <w:tc>
          <w:tcPr/>
          <w:p>
            <w:pPr>
              <w:pStyle w:val="Compact"/>
              <w:jc w:val="left"/>
            </w:pPr>
            <w:r>
              <w:t xml:space="preserve">Monthly Site Reports</w:t>
            </w:r>
          </w:p>
        </w:tc>
      </w:tr>
      <w:tr>
        <w:tc>
          <w:tcPr/>
          <w:p>
            <w:pPr>
              <w:pStyle w:val="Compact"/>
              <w:jc w:val="left"/>
            </w:pPr>
            <w:r>
              <w:t xml:space="preserve">As-Built &amp; Handover</w:t>
            </w:r>
          </w:p>
        </w:tc>
        <w:tc>
          <w:tcPr/>
          <w:p>
            <w:pPr>
              <w:pStyle w:val="Compact"/>
              <w:jc w:val="left"/>
            </w:pPr>
            <w:r>
              <w:t xml:space="preserve">1 August 2027</w:t>
            </w:r>
          </w:p>
        </w:tc>
        <w:tc>
          <w:tcPr/>
          <w:p>
            <w:pPr>
              <w:pStyle w:val="Compact"/>
              <w:jc w:val="left"/>
            </w:pPr>
            <w:r>
              <w:t xml:space="preserve">30 September 2027</w:t>
            </w:r>
          </w:p>
        </w:tc>
        <w:tc>
          <w:tcPr/>
          <w:p>
            <w:pPr>
              <w:pStyle w:val="Compact"/>
              <w:jc w:val="left"/>
            </w:pPr>
            <w:r>
              <w:t xml:space="preserve">As-Built Drawings &amp; O&amp;M Manuals</w:t>
            </w:r>
          </w:p>
        </w:tc>
      </w:tr>
    </w:tbl>
    <w:p>
      <w:pPr>
        <w:pStyle w:val="BodyText"/>
      </w:pPr>
      <w:r>
        <w:t xml:space="preserve">6. AUTHORIZED SIGNATURES</w:t>
      </w:r>
    </w:p>
    <w:p>
      <w:pPr>
        <w:pStyle w:val="BodyText"/>
      </w:pPr>
      <w:r>
        <w:rPr>
          <w:bCs/>
          <w:b/>
        </w:rPr>
        <w:t xml:space="preserve">For and on behalf of Eastgate Properties Ltd. (Client)</w:t>
      </w:r>
    </w:p>
    <w:p>
      <w:pPr>
        <w:pStyle w:val="BodyText"/>
      </w:pPr>
      <w:r>
        <w:t xml:space="preserve">Name:</w:t>
      </w:r>
      <w:r>
        <w:t xml:space="preserve"> </w:t>
      </w:r>
      <w:r>
        <w:rPr>
          <w:bCs/>
          <w:b/>
        </w:rPr>
        <w:t xml:space="preserve">Grace Achieng' Omondi</w:t>
      </w:r>
      <w:r>
        <w:br/>
      </w:r>
      <w:r>
        <w:t xml:space="preserve">Title: Procurement Director</w:t>
      </w:r>
      <w:r>
        <w:br/>
      </w:r>
      <w:r>
        <w:t xml:space="preserve">Signature: _________________________</w:t>
      </w:r>
      <w:r>
        <w:br/>
      </w:r>
      <w:r>
        <w:t xml:space="preserve">Date: _________________________</w:t>
      </w:r>
      <w:r>
        <w:br/>
      </w:r>
      <w:r>
        <w:t xml:space="preserve">Company Stamp:</w:t>
      </w:r>
    </w:p>
    <w:p>
      <w:pPr>
        <w:pStyle w:val="BodyText"/>
      </w:pPr>
      <w:r>
        <w:rPr>
          <w:bCs/>
          <w:b/>
        </w:rPr>
        <w:t xml:space="preserve">For and on behalf of Savanna Design &amp; Build Architects Ltd. (Architect)</w:t>
      </w:r>
    </w:p>
    <w:p>
      <w:pPr>
        <w:pStyle w:val="BodyText"/>
      </w:pPr>
      <w:r>
        <w:t xml:space="preserve">Name:</w:t>
      </w:r>
      <w:r>
        <w:t xml:space="preserve"> </w:t>
      </w:r>
      <w:r>
        <w:rPr>
          <w:bCs/>
          <w:b/>
        </w:rPr>
        <w:t xml:space="preserve">David Mwangi</w:t>
      </w:r>
      <w:r>
        <w:br/>
      </w:r>
      <w:r>
        <w:t xml:space="preserve">Title: Principal Architect, KIA Reg. No. KEA/2019/00847</w:t>
      </w:r>
      <w:r>
        <w:br/>
      </w:r>
      <w:r>
        <w:t xml:space="preserve">Signature: _________________________</w:t>
      </w:r>
      <w:r>
        <w:br/>
      </w:r>
      <w:r>
        <w:t xml:space="preserve">Date: _________________________</w:t>
      </w:r>
      <w:r>
        <w:br/>
      </w:r>
      <w:r>
        <w:t xml:space="preserve">Company Stamp:</w:t>
      </w:r>
    </w:p>
    <w:p>
      <w:pPr>
        <w:pStyle w:val="BodyText"/>
      </w:pPr>
      <w:r>
        <w:t xml:space="preserve">This Purchase Order is issued in Nairobi, Kenya and constitutes a binding agreement between the parties upon execution. All communications regarding this Purchase Order and the Architect's engagement for the Nairobi project shall be directed to the addresses stated above. This document is valid for a period of thirty (30) days from the date of issue.</w:t>
      </w:r>
    </w:p>
    <w:p>
      <w:pPr>
        <w:pStyle w:val="BodyText"/>
      </w:pPr>
      <w:r>
        <w:rPr>
          <w:bCs/>
          <w:b/>
        </w:rPr>
        <w:t xml:space="preserve">Eastgate Properties Ltd. — Nairobi, Kenya — PO/NBO/ARC/2025/0047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Architect Services - Kenya Nairobi</dc:title>
  <dc:creator/>
  <dc:language>en</dc:language>
  <cp:keywords/>
  <dcterms:created xsi:type="dcterms:W3CDTF">2026-10-10T02:32:22Z</dcterms:created>
  <dcterms:modified xsi:type="dcterms:W3CDTF">2026-10-10T02:32:22Z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