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Architect</w:t>
      </w:r>
      <w:r>
        <w:t xml:space="preserve"> </w:t>
      </w:r>
      <w:r>
        <w:t xml:space="preserve">Services</w:t>
      </w:r>
      <w:r>
        <w:t xml:space="preserve"> </w:t>
      </w:r>
      <w:r>
        <w:t xml:space="preserve">-</w:t>
      </w:r>
      <w:r>
        <w:t xml:space="preserve"> </w:t>
      </w:r>
      <w:r>
        <w:t xml:space="preserve">Malaysia</w:t>
      </w:r>
      <w:r>
        <w:t xml:space="preserve"> </w:t>
      </w:r>
      <w:r>
        <w:t xml:space="preserve">Kuala</w:t>
      </w:r>
      <w:r>
        <w:t xml:space="preserve"> </w:t>
      </w:r>
      <w:r>
        <w:t xml:space="preserve">Lumpur</w:t>
      </w:r>
    </w:p>
    <w:bookmarkStart w:id="20" w:name="purchase-order"/>
    <w:p>
      <w:pPr>
        <w:pStyle w:val="Heading1"/>
      </w:pPr>
      <w:r>
        <w:t xml:space="preserve">PURCHASE ORDER</w:t>
      </w:r>
    </w:p>
    <w:p>
      <w:pPr>
        <w:pStyle w:val="FirstParagraph"/>
      </w:pPr>
      <w:r>
        <w:t xml:space="preserve">Architect Services Procurement Document</w:t>
      </w:r>
    </w:p>
    <w:p>
      <w:pPr>
        <w:pStyle w:val="BodyText"/>
      </w:pPr>
      <w:r>
        <w:t xml:space="preserve">Issued in Malaysia Kuala Lumpur</w:t>
      </w:r>
    </w:p>
    <w:p>
      <w:pPr>
        <w:pStyle w:val="BodyText"/>
      </w:pPr>
      <w:r>
        <w:t xml:space="preserve">This Purchase Order is governed by the laws of Malaysia and applicable regulations of the Kuala Lumpur Municipal Council (DBKL)</w:t>
      </w:r>
    </w:p>
    <w:bookmarkEnd w:id="20"/>
    <w:bookmarkStart w:id="21" w:name="purchaser-buyer"/>
    <w:p>
      <w:pPr>
        <w:pStyle w:val="Heading3"/>
      </w:pPr>
      <w:r>
        <w:t xml:space="preserve">Purchaser (Buyer)</w:t>
      </w:r>
    </w:p>
    <w:p>
      <w:pPr>
        <w:pStyle w:val="FirstParagraph"/>
      </w:pPr>
      <w:r>
        <w:rPr>
          <w:bCs/>
          <w:b/>
        </w:rPr>
        <w:t xml:space="preserve">Meridian Development Sdn. Bhd.</w:t>
      </w:r>
      <w:r>
        <w:br/>
      </w:r>
      <w:r>
        <w:t xml:space="preserve">Level 28, Menara Meridian</w:t>
      </w:r>
      <w:r>
        <w:br/>
      </w:r>
      <w:r>
        <w:t xml:space="preserve">12, Jalan Sultan Ismail</w:t>
      </w:r>
      <w:r>
        <w:br/>
      </w:r>
      <w:r>
        <w:t xml:space="preserve">50250 Malaysia Kuala Lumpur</w:t>
      </w:r>
      <w:r>
        <w:br/>
      </w:r>
      <w:r>
        <w:t xml:space="preserve">Tel: +603-2180 4455</w:t>
      </w:r>
      <w:r>
        <w:br/>
      </w:r>
      <w:r>
        <w:t xml:space="preserve">Email: procurement@meridiandev.com.my</w:t>
      </w:r>
      <w:r>
        <w:br/>
      </w:r>
      <w:r>
        <w:t xml:space="preserve">Company Reg. No.: 201901045678 (K)</w:t>
      </w:r>
    </w:p>
    <w:bookmarkEnd w:id="21"/>
    <w:bookmarkStart w:id="22" w:name="supplier-architect-firm"/>
    <w:p>
      <w:pPr>
        <w:pStyle w:val="Heading3"/>
      </w:pPr>
      <w:r>
        <w:t xml:space="preserve">Supplier (Architect Firm)</w:t>
      </w:r>
    </w:p>
    <w:p>
      <w:pPr>
        <w:pStyle w:val="FirstParagraph"/>
      </w:pPr>
      <w:r>
        <w:rPr>
          <w:bCs/>
          <w:b/>
        </w:rPr>
        <w:t xml:space="preserve">Studio Nusantara Architects Sdn. Bhd.</w:t>
      </w:r>
      <w:r>
        <w:br/>
      </w:r>
      <w:r>
        <w:t xml:space="preserve">Suite 5-03, Level 5, The Exchange TRX</w:t>
      </w:r>
      <w:r>
        <w:br/>
      </w:r>
      <w:r>
        <w:t xml:space="preserve">Persiaran TRX 2, Tun Razak Exchange</w:t>
      </w:r>
      <w:r>
        <w:br/>
      </w:r>
      <w:r>
        <w:t xml:space="preserve">55188 Malaysia Kuala Lumpur</w:t>
      </w:r>
      <w:r>
        <w:br/>
      </w:r>
      <w:r>
        <w:t xml:space="preserve">Tel: +603-2715 8890</w:t>
      </w:r>
      <w:r>
        <w:br/>
      </w:r>
      <w:r>
        <w:t xml:space="preserve">Email: projects@studionusantara.my</w:t>
      </w:r>
      <w:r>
        <w:br/>
      </w:r>
      <w:r>
        <w:t xml:space="preserve">Board of Architects Reg. No.: A-04521</w:t>
      </w:r>
    </w:p>
    <w:bookmarkEnd w:id="22"/>
    <w:tbl>
      <w:tblPr>
        <w:tblStyle w:val="Table"/>
        <w:tblW w:type="auto" w:w="0"/>
        <w:tblLook w:firstRow="0" w:lastRow="0" w:firstColumn="0" w:lastColumn="0" w:noHBand="0" w:noVBand="0" w:val="0000"/>
      </w:tblPr>
      <w:tblGrid>
        <w:gridCol w:w="1980"/>
        <w:gridCol w:w="1980"/>
        <w:gridCol w:w="1980"/>
        <w:gridCol w:w="1980"/>
      </w:tblGrid>
      <w:tr>
        <w:tc>
          <w:tcPr/>
          <w:p>
            <w:pPr>
              <w:pStyle w:val="Compact"/>
              <w:jc w:val="left"/>
            </w:pPr>
            <w:r>
              <w:t xml:space="preserve">Purchase Order No.:</w:t>
            </w:r>
          </w:p>
        </w:tc>
        <w:tc>
          <w:tcPr/>
          <w:p>
            <w:pPr>
              <w:pStyle w:val="Compact"/>
              <w:jc w:val="left"/>
            </w:pPr>
            <w:r>
              <w:t xml:space="preserve">PO-MD-2025-00847</w:t>
            </w:r>
          </w:p>
        </w:tc>
        <w:tc>
          <w:tcPr/>
          <w:p>
            <w:pPr>
              <w:pStyle w:val="Compact"/>
              <w:jc w:val="left"/>
            </w:pPr>
            <w:r>
              <w:t xml:space="preserve">Date of Issue:</w:t>
            </w:r>
          </w:p>
        </w:tc>
        <w:tc>
          <w:tcPr/>
          <w:p>
            <w:pPr>
              <w:pStyle w:val="Compact"/>
              <w:jc w:val="left"/>
            </w:pPr>
            <w:r>
              <w:t xml:space="preserve">15 June 2025</w:t>
            </w:r>
          </w:p>
        </w:tc>
      </w:tr>
      <w:tr>
        <w:tc>
          <w:tcPr/>
          <w:p>
            <w:pPr>
              <w:pStyle w:val="Compact"/>
              <w:jc w:val="left"/>
            </w:pPr>
            <w:r>
              <w:t xml:space="preserve">Project Reference:</w:t>
            </w:r>
          </w:p>
        </w:tc>
        <w:tc>
          <w:tcPr/>
          <w:p>
            <w:pPr>
              <w:pStyle w:val="Compact"/>
              <w:jc w:val="left"/>
            </w:pPr>
            <w:r>
              <w:t xml:space="preserve">MD-KL-RES-2025-03</w:t>
            </w:r>
          </w:p>
        </w:tc>
        <w:tc>
          <w:tcPr/>
          <w:p>
            <w:pPr>
              <w:pStyle w:val="Compact"/>
              <w:jc w:val="left"/>
            </w:pPr>
            <w:r>
              <w:t xml:space="preserve">Delivery Location:</w:t>
            </w:r>
          </w:p>
        </w:tc>
        <w:tc>
          <w:tcPr/>
          <w:p>
            <w:pPr>
              <w:pStyle w:val="Compact"/>
              <w:jc w:val="left"/>
            </w:pPr>
            <w:r>
              <w:t xml:space="preserve">Malaysia Kuala Lumpur</w:t>
            </w:r>
          </w:p>
        </w:tc>
      </w:tr>
      <w:tr>
        <w:tc>
          <w:tcPr/>
          <w:p>
            <w:pPr>
              <w:pStyle w:val="Compact"/>
              <w:jc w:val="left"/>
            </w:pPr>
            <w:r>
              <w:t xml:space="preserve">Payment Terms:</w:t>
            </w:r>
          </w:p>
        </w:tc>
        <w:tc>
          <w:tcPr/>
          <w:p>
            <w:pPr>
              <w:pStyle w:val="Compact"/>
              <w:jc w:val="left"/>
            </w:pPr>
            <w:r>
              <w:t xml:space="preserve">30 Days from Invoice</w:t>
            </w:r>
          </w:p>
        </w:tc>
        <w:tc>
          <w:tcPr/>
          <w:p>
            <w:pPr>
              <w:pStyle w:val="Compact"/>
              <w:jc w:val="left"/>
            </w:pPr>
            <w:r>
              <w:t xml:space="preserve">Valid Until:</w:t>
            </w:r>
          </w:p>
        </w:tc>
        <w:tc>
          <w:tcPr/>
          <w:p>
            <w:pPr>
              <w:pStyle w:val="Compact"/>
              <w:jc w:val="left"/>
            </w:pPr>
            <w:r>
              <w:t xml:space="preserve">15 July 2025</w:t>
            </w:r>
          </w:p>
        </w:tc>
      </w:tr>
      <w:tr>
        <w:tc>
          <w:tcPr/>
          <w:p>
            <w:pPr>
              <w:pStyle w:val="Compact"/>
              <w:jc w:val="left"/>
            </w:pPr>
            <w:r>
              <w:t xml:space="preserve">Currency:</w:t>
            </w:r>
          </w:p>
        </w:tc>
        <w:tc>
          <w:tcPr/>
          <w:p>
            <w:pPr>
              <w:pStyle w:val="Compact"/>
              <w:jc w:val="left"/>
            </w:pPr>
            <w:r>
              <w:t xml:space="preserve">Malaysian Ringgit (MYR)</w:t>
            </w:r>
          </w:p>
        </w:tc>
        <w:tc>
          <w:tcPr/>
          <w:p>
            <w:pPr>
              <w:pStyle w:val="Compact"/>
              <w:jc w:val="left"/>
            </w:pPr>
            <w:r>
              <w:t xml:space="preserve">Applicable Law:</w:t>
            </w:r>
          </w:p>
        </w:tc>
        <w:tc>
          <w:tcPr/>
          <w:p>
            <w:pPr>
              <w:pStyle w:val="Compact"/>
              <w:jc w:val="left"/>
            </w:pPr>
            <w:r>
              <w:t xml:space="preserve">Laws of Malaysia</w:t>
            </w:r>
          </w:p>
        </w:tc>
      </w:tr>
    </w:tbl>
    <w:bookmarkStart w:id="23" w:name="X5dd26d9a8696767f22f97323b886787657bb324"/>
    <w:p>
      <w:pPr>
        <w:pStyle w:val="Heading2"/>
      </w:pPr>
      <w:r>
        <w:t xml:space="preserve">1. Description of Architect Services Required</w:t>
      </w:r>
    </w:p>
    <w:p>
      <w:pPr>
        <w:pStyle w:val="FirstParagraph"/>
      </w:pPr>
      <w:r>
        <w:t xml:space="preserve">This Purchase Order is issued by Meridian Development Sdn. Bhd. to engage Studio Nusantara Architects Sdn. Bhd. as the lead</w:t>
      </w:r>
      <w:r>
        <w:t xml:space="preserve"> </w:t>
      </w:r>
      <w:r>
        <w:t xml:space="preserve">Architect</w:t>
      </w:r>
      <w:r>
        <w:t xml:space="preserve"> </w:t>
      </w:r>
      <w:r>
        <w:t xml:space="preserve">for the design and development of a mixed-use residential and commercial complex located in the heart of</w:t>
      </w:r>
      <w:r>
        <w:t xml:space="preserve"> </w:t>
      </w:r>
      <w:r>
        <w:t xml:space="preserve">Malaysia Kuala Lumpur</w:t>
      </w:r>
      <w:r>
        <w:t xml:space="preserve">. The Architect shall provide comprehensive architectural services in accordance with the Malaysian Building and Construction Authority (CIDB) guidelines, the Uniform Building By-Laws 1984, and all applicable regulations enforced by the Kuala Lumpur City Hall (DBKL) and the Board of Architects Malaysia.</w:t>
      </w:r>
    </w:p>
    <w:bookmarkEnd w:id="23"/>
    <w:bookmarkStart w:id="24" w:name="scope-of-work-and-deliverables"/>
    <w:p>
      <w:pPr>
        <w:pStyle w:val="Heading2"/>
      </w:pPr>
      <w:r>
        <w:t xml:space="preserve">2. Scope of Work and Deliverables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No.</w:t>
            </w:r>
          </w:p>
        </w:tc>
        <w:tc>
          <w:tcPr/>
          <w:p>
            <w:pPr>
              <w:pStyle w:val="Compact"/>
              <w:jc w:val="left"/>
            </w:pPr>
            <w:r>
              <w:t xml:space="preserve">Service / Deliverable</w:t>
            </w:r>
          </w:p>
        </w:tc>
        <w:tc>
          <w:tcPr/>
          <w:p>
            <w:pPr>
              <w:pStyle w:val="Compact"/>
              <w:jc w:val="left"/>
            </w:pPr>
            <w:r>
              <w:t xml:space="preserve">Description</w:t>
            </w:r>
          </w:p>
        </w:tc>
        <w:tc>
          <w:tcPr/>
          <w:p>
            <w:pPr>
              <w:pStyle w:val="Compact"/>
              <w:jc w:val="left"/>
            </w:pPr>
            <w:r>
              <w:t xml:space="preserve">Duration</w:t>
            </w:r>
          </w:p>
        </w:tc>
        <w:tc>
          <w:tcPr/>
          <w:p>
            <w:pPr>
              <w:pStyle w:val="Compact"/>
              <w:jc w:val="left"/>
            </w:pPr>
            <w:r>
              <w:t xml:space="preserve">Amount (MYR)</w:t>
            </w:r>
          </w:p>
        </w:tc>
      </w:tr>
      <w:tr>
        <w:tc>
          <w:tcPr/>
          <w:p>
            <w:pPr>
              <w:pStyle w:val="Compact"/>
              <w:jc w:val="left"/>
            </w:pPr>
            <w:r>
              <w:t xml:space="preserve">1</w:t>
            </w:r>
          </w:p>
        </w:tc>
        <w:tc>
          <w:tcPr/>
          <w:p>
            <w:pPr>
              <w:pStyle w:val="Compact"/>
              <w:jc w:val="left"/>
            </w:pPr>
            <w:r>
              <w:t xml:space="preserve">Concept Design &amp; Feasibility Study</w:t>
            </w:r>
          </w:p>
        </w:tc>
        <w:tc>
          <w:tcPr/>
          <w:p>
            <w:pPr>
              <w:pStyle w:val="Compact"/>
              <w:jc w:val="left"/>
            </w:pPr>
            <w:r>
              <w:t xml:space="preserve">Architect to prepare concept drawings, massing studies, and feasibility reports compliant with DBKL planning guidelines for the site in Malaysia Kuala Lumpur.</w:t>
            </w:r>
          </w:p>
        </w:tc>
        <w:tc>
          <w:tcPr/>
          <w:p>
            <w:pPr>
              <w:pStyle w:val="Compact"/>
              <w:jc w:val="left"/>
            </w:pPr>
            <w:r>
              <w:t xml:space="preserve">8 weeks</w:t>
            </w:r>
          </w:p>
        </w:tc>
        <w:tc>
          <w:tcPr/>
          <w:p>
            <w:pPr>
              <w:pStyle w:val="Compact"/>
              <w:jc w:val="left"/>
            </w:pPr>
            <w:r>
              <w:t xml:space="preserve">RM 185,000.00</w:t>
            </w:r>
          </w:p>
        </w:tc>
      </w:tr>
      <w:tr>
        <w:tc>
          <w:tcPr/>
          <w:p>
            <w:pPr>
              <w:pStyle w:val="Compact"/>
              <w:jc w:val="left"/>
            </w:pPr>
            <w:r>
              <w:t xml:space="preserve">2</w:t>
            </w:r>
          </w:p>
        </w:tc>
        <w:tc>
          <w:tcPr/>
          <w:p>
            <w:pPr>
              <w:pStyle w:val="Compact"/>
              <w:jc w:val="left"/>
            </w:pPr>
            <w:r>
              <w:t xml:space="preserve">Schematic Design Development</w:t>
            </w:r>
          </w:p>
        </w:tc>
        <w:tc>
          <w:tcPr/>
          <w:p>
            <w:pPr>
              <w:pStyle w:val="Compact"/>
              <w:jc w:val="left"/>
            </w:pPr>
            <w:r>
              <w:t xml:space="preserve">Detailed schematic design including floor plans, elevations, sections, and 3D visualisations for the 42-storey mixed-use tower.</w:t>
            </w:r>
          </w:p>
        </w:tc>
        <w:tc>
          <w:tcPr/>
          <w:p>
            <w:pPr>
              <w:pStyle w:val="Compact"/>
              <w:jc w:val="left"/>
            </w:pPr>
            <w:r>
              <w:t xml:space="preserve">10 weeks</w:t>
            </w:r>
          </w:p>
        </w:tc>
        <w:tc>
          <w:tcPr/>
          <w:p>
            <w:pPr>
              <w:pStyle w:val="Compact"/>
              <w:jc w:val="left"/>
            </w:pPr>
            <w:r>
              <w:t xml:space="preserve">RM 320,000.00</w:t>
            </w:r>
          </w:p>
        </w:tc>
      </w:tr>
      <w:tr>
        <w:tc>
          <w:tcPr/>
          <w:p>
            <w:pPr>
              <w:pStyle w:val="Compact"/>
              <w:jc w:val="left"/>
            </w:pPr>
            <w:r>
              <w:t xml:space="preserve">3</w:t>
            </w:r>
          </w:p>
        </w:tc>
        <w:tc>
          <w:tcPr/>
          <w:p>
            <w:pPr>
              <w:pStyle w:val="Compact"/>
              <w:jc w:val="left"/>
            </w:pPr>
            <w:r>
              <w:t xml:space="preserve">Detailed Design &amp; Construction Drawings</w:t>
            </w:r>
          </w:p>
        </w:tc>
        <w:tc>
          <w:tcPr/>
          <w:p>
            <w:pPr>
              <w:pStyle w:val="Compact"/>
              <w:jc w:val="left"/>
            </w:pPr>
            <w:r>
              <w:t xml:space="preserve">Full set of construction drawings, specifications, and technical schedules for submission to DBKL and the local authority in Malaysia Kuala Lumpur.</w:t>
            </w:r>
          </w:p>
        </w:tc>
        <w:tc>
          <w:tcPr/>
          <w:p>
            <w:pPr>
              <w:pStyle w:val="Compact"/>
              <w:jc w:val="left"/>
            </w:pPr>
            <w:r>
              <w:t xml:space="preserve">14 weeks</w:t>
            </w:r>
          </w:p>
        </w:tc>
        <w:tc>
          <w:tcPr/>
          <w:p>
            <w:pPr>
              <w:pStyle w:val="Compact"/>
              <w:jc w:val="left"/>
            </w:pPr>
            <w:r>
              <w:t xml:space="preserve">RM 475,000.00</w:t>
            </w:r>
          </w:p>
        </w:tc>
      </w:tr>
      <w:tr>
        <w:tc>
          <w:tcPr/>
          <w:p>
            <w:pPr>
              <w:pStyle w:val="Compact"/>
              <w:jc w:val="left"/>
            </w:pPr>
            <w:r>
              <w:t xml:space="preserve">4</w:t>
            </w:r>
          </w:p>
        </w:tc>
        <w:tc>
          <w:tcPr/>
          <w:p>
            <w:pPr>
              <w:pStyle w:val="Compact"/>
              <w:jc w:val="left"/>
            </w:pPr>
            <w:r>
              <w:t xml:space="preserve">Statutory Approval &amp; Permitting</w:t>
            </w:r>
          </w:p>
        </w:tc>
        <w:tc>
          <w:tcPr/>
          <w:p>
            <w:pPr>
              <w:pStyle w:val="Compact"/>
              <w:jc w:val="left"/>
            </w:pPr>
            <w:r>
              <w:t xml:space="preserve">Architect to manage all submissions, attend planning committee meetings, and secure building permits from DBKL and relevant Malaysian authorities.</w:t>
            </w:r>
          </w:p>
        </w:tc>
        <w:tc>
          <w:tcPr/>
          <w:p>
            <w:pPr>
              <w:pStyle w:val="Compact"/>
              <w:jc w:val="left"/>
            </w:pPr>
            <w:r>
              <w:t xml:space="preserve">12 weeks</w:t>
            </w:r>
          </w:p>
        </w:tc>
        <w:tc>
          <w:tcPr/>
          <w:p>
            <w:pPr>
              <w:pStyle w:val="Compact"/>
              <w:jc w:val="left"/>
            </w:pPr>
            <w:r>
              <w:t xml:space="preserve">RM 145,000.00</w:t>
            </w:r>
          </w:p>
        </w:tc>
      </w:tr>
      <w:tr>
        <w:tc>
          <w:tcPr/>
          <w:p>
            <w:pPr>
              <w:pStyle w:val="Compact"/>
              <w:jc w:val="left"/>
            </w:pPr>
            <w:r>
              <w:t xml:space="preserve">5</w:t>
            </w:r>
          </w:p>
        </w:tc>
        <w:tc>
          <w:tcPr/>
          <w:p>
            <w:pPr>
              <w:pStyle w:val="Compact"/>
              <w:jc w:val="left"/>
            </w:pPr>
            <w:r>
              <w:t xml:space="preserve">Construction Phase Supervision</w:t>
            </w:r>
          </w:p>
        </w:tc>
        <w:tc>
          <w:tcPr/>
          <w:p>
            <w:pPr>
              <w:pStyle w:val="Compact"/>
              <w:jc w:val="left"/>
            </w:pPr>
            <w:r>
              <w:t xml:space="preserve">On-site Architect supervision, progress inspections, and certification of works in accordance with the approved drawings at the Malaysia Kuala Lumpur site.</w:t>
            </w:r>
          </w:p>
        </w:tc>
        <w:tc>
          <w:tcPr/>
          <w:p>
            <w:pPr>
              <w:pStyle w:val="Compact"/>
              <w:jc w:val="left"/>
            </w:pPr>
            <w:r>
              <w:t xml:space="preserve">28 months</w:t>
            </w:r>
          </w:p>
        </w:tc>
        <w:tc>
          <w:tcPr/>
          <w:p>
            <w:pPr>
              <w:pStyle w:val="Compact"/>
              <w:jc w:val="left"/>
            </w:pPr>
            <w:r>
              <w:t xml:space="preserve">RM 680,000.00</w:t>
            </w:r>
          </w:p>
        </w:tc>
      </w:tr>
      <w:tr>
        <w:tc>
          <w:tcPr/>
          <w:p>
            <w:pPr>
              <w:pStyle w:val="Compact"/>
              <w:jc w:val="left"/>
            </w:pPr>
            <w:r>
              <w:t xml:space="preserve">6</w:t>
            </w:r>
          </w:p>
        </w:tc>
        <w:tc>
          <w:tcPr/>
          <w:p>
            <w:pPr>
              <w:pStyle w:val="Compact"/>
              <w:jc w:val="left"/>
            </w:pPr>
            <w:r>
              <w:t xml:space="preserve">As-Built Documentation &amp; Handover</w:t>
            </w:r>
          </w:p>
        </w:tc>
        <w:tc>
          <w:tcPr/>
          <w:p>
            <w:pPr>
              <w:pStyle w:val="Compact"/>
              <w:jc w:val="left"/>
            </w:pPr>
            <w:r>
              <w:t xml:space="preserve">Preparation of as-built drawings, O&amp;M manuals, and final handover documentation for the completed project in Malaysia Kuala Lumpur.</w:t>
            </w:r>
          </w:p>
        </w:tc>
        <w:tc>
          <w:tcPr/>
          <w:p>
            <w:pPr>
              <w:pStyle w:val="Compact"/>
              <w:jc w:val="left"/>
            </w:pPr>
            <w:r>
              <w:t xml:space="preserve">6 weeks</w:t>
            </w:r>
          </w:p>
        </w:tc>
        <w:tc>
          <w:tcPr/>
          <w:p>
            <w:pPr>
              <w:pStyle w:val="Compact"/>
              <w:jc w:val="left"/>
            </w:pPr>
            <w:r>
              <w:t xml:space="preserve">RM 95,000.00</w:t>
            </w:r>
          </w:p>
        </w:tc>
      </w:tr>
      <w:tr>
        <w:tc>
          <w:tcPr>
            <w:gridSpan w:val="4"/>
          </w:tcPr>
          <w:p>
            <w:pPr>
              <w:pStyle w:val="Compact"/>
              <w:jc w:val="left"/>
            </w:pPr>
            <w:r>
              <w:t xml:space="preserve">TOTAL CONTRACT VALUE (Inclusive of 8% SST)</w:t>
            </w:r>
          </w:p>
        </w:tc>
        <w:tc>
          <w:tcPr/>
          <w:p>
            <w:pPr>
              <w:pStyle w:val="Compact"/>
              <w:jc w:val="left"/>
            </w:pPr>
            <w:r>
              <w:t xml:space="preserve">RM 1,900,000.00</w:t>
            </w:r>
          </w:p>
        </w:tc>
      </w:tr>
    </w:tbl>
    <w:bookmarkEnd w:id="24"/>
    <w:bookmarkStart w:id="25" w:name="payment-schedule"/>
    <w:p>
      <w:pPr>
        <w:pStyle w:val="Heading2"/>
      </w:pPr>
      <w:r>
        <w:t xml:space="preserve">3. Payment Schedule</w:t>
      </w:r>
    </w:p>
    <w:p>
      <w:pPr>
        <w:pStyle w:val="FirstParagraph"/>
      </w:pPr>
      <w:r>
        <w:t xml:space="preserve">The Purchaser shall make payments to the Architect in accordance with the following milestone-based schedule. All payments shall be made in Malaysian Ringgit (MYR) via bank transfer to the account designated by Studio Nusantara Architects Sdn. Bhd. Payment is due within thirty (30) calendar days from the date of a valid invoice submitted by the Architect.</w:t>
      </w:r>
    </w:p>
    <w:p>
      <w:pPr>
        <w:numPr>
          <w:ilvl w:val="0"/>
          <w:numId w:val="1001"/>
        </w:numPr>
        <w:pStyle w:val="Compact"/>
      </w:pPr>
      <w:r>
        <w:rPr>
          <w:bCs/>
          <w:b/>
        </w:rPr>
        <w:t xml:space="preserve">Milestone 1 (15%):</w:t>
      </w:r>
      <w:r>
        <w:t xml:space="preserve"> </w:t>
      </w:r>
      <w:r>
        <w:t xml:space="preserve">Upon execution of this Purchase Order and commencement of the Concept Design phase.</w:t>
      </w:r>
    </w:p>
    <w:p>
      <w:pPr>
        <w:numPr>
          <w:ilvl w:val="0"/>
          <w:numId w:val="1001"/>
        </w:numPr>
        <w:pStyle w:val="Compact"/>
      </w:pPr>
      <w:r>
        <w:rPr>
          <w:bCs/>
          <w:b/>
        </w:rPr>
        <w:t xml:space="preserve">Milestone 2 (20%):</w:t>
      </w:r>
      <w:r>
        <w:t xml:space="preserve"> </w:t>
      </w:r>
      <w:r>
        <w:t xml:space="preserve">Upon approval of the Schematic Design package by the Purchaser's board.</w:t>
      </w:r>
    </w:p>
    <w:p>
      <w:pPr>
        <w:numPr>
          <w:ilvl w:val="0"/>
          <w:numId w:val="1001"/>
        </w:numPr>
        <w:pStyle w:val="Compact"/>
      </w:pPr>
      <w:r>
        <w:rPr>
          <w:bCs/>
          <w:b/>
        </w:rPr>
        <w:t xml:space="preserve">Milestone 3 (25%):</w:t>
      </w:r>
      <w:r>
        <w:t xml:space="preserve"> </w:t>
      </w:r>
      <w:r>
        <w:t xml:space="preserve">Upon submission of the complete Detailed Design and Construction Drawings to DBKL.</w:t>
      </w:r>
    </w:p>
    <w:p>
      <w:pPr>
        <w:numPr>
          <w:ilvl w:val="0"/>
          <w:numId w:val="1001"/>
        </w:numPr>
        <w:pStyle w:val="Compact"/>
      </w:pPr>
      <w:r>
        <w:rPr>
          <w:bCs/>
          <w:b/>
        </w:rPr>
        <w:t xml:space="preserve">Milestone 4 (15%):</w:t>
      </w:r>
      <w:r>
        <w:t xml:space="preserve"> </w:t>
      </w:r>
      <w:r>
        <w:t xml:space="preserve">Upon receipt of the Building Permit and all statutory approvals from the local authority in Malaysia Kuala Lumpur.</w:t>
      </w:r>
    </w:p>
    <w:p>
      <w:pPr>
        <w:numPr>
          <w:ilvl w:val="0"/>
          <w:numId w:val="1001"/>
        </w:numPr>
        <w:pStyle w:val="Compact"/>
      </w:pPr>
      <w:r>
        <w:rPr>
          <w:bCs/>
          <w:b/>
        </w:rPr>
        <w:t xml:space="preserve">Milestone 5 (20%):</w:t>
      </w:r>
      <w:r>
        <w:t xml:space="preserve"> </w:t>
      </w:r>
      <w:r>
        <w:t xml:space="preserve">Pro-rata monthly payments during the Construction Phase Supervision period.</w:t>
      </w:r>
    </w:p>
    <w:p>
      <w:pPr>
        <w:numPr>
          <w:ilvl w:val="0"/>
          <w:numId w:val="1001"/>
        </w:numPr>
        <w:pStyle w:val="Compact"/>
      </w:pPr>
      <w:r>
        <w:rPr>
          <w:bCs/>
          <w:b/>
        </w:rPr>
        <w:t xml:space="preserve">Milestone 6 (5%):</w:t>
      </w:r>
      <w:r>
        <w:t xml:space="preserve"> </w:t>
      </w:r>
      <w:r>
        <w:t xml:space="preserve">Upon completion of As-Built Documentation and final project handover.</w:t>
      </w:r>
    </w:p>
    <w:bookmarkEnd w:id="25"/>
    <w:bookmarkStart w:id="26" w:name="terms-and-conditions"/>
    <w:p>
      <w:pPr>
        <w:pStyle w:val="Heading2"/>
      </w:pPr>
      <w:r>
        <w:t xml:space="preserve">4. Terms and Conditions</w:t>
      </w:r>
    </w:p>
    <w:p>
      <w:pPr>
        <w:numPr>
          <w:ilvl w:val="0"/>
          <w:numId w:val="1002"/>
        </w:numPr>
        <w:pStyle w:val="Compact"/>
      </w:pPr>
      <w:r>
        <w:rPr>
          <w:bCs/>
          <w:b/>
        </w:rPr>
        <w:t xml:space="preserve">Governing Law:</w:t>
      </w:r>
      <w:r>
        <w:t xml:space="preserve"> </w:t>
      </w:r>
      <w:r>
        <w:t xml:space="preserve">This Purchase Order and all Architect services rendered hereunder shall be governed by and construed in accordance with the laws of Malaysia. Any disputes arising shall be subject to the exclusive jurisdiction of the courts of Malaysia Kuala Lumpur or, at the Purchaser's election, resolved through arbitration under the rules of the Asian International Arbitration Centre (AIAC) in Kuala Lumpur.</w:t>
      </w:r>
    </w:p>
    <w:p>
      <w:pPr>
        <w:numPr>
          <w:ilvl w:val="0"/>
          <w:numId w:val="1002"/>
        </w:numPr>
        <w:pStyle w:val="Compact"/>
      </w:pPr>
      <w:r>
        <w:rPr>
          <w:bCs/>
          <w:b/>
        </w:rPr>
        <w:t xml:space="preserve">Professional Standards:</w:t>
      </w:r>
      <w:r>
        <w:t xml:space="preserve"> </w:t>
      </w:r>
      <w:r>
        <w:t xml:space="preserve">The Architect shall perform all services in a professional and workmanlike manner consistent with the standards of practice established by the Board of Architects Malaysia. The Architect warrants that all personnel assigned to this project in Malaysia Kuala Lumpur are duly registered and qualified.</w:t>
      </w:r>
    </w:p>
    <w:p>
      <w:pPr>
        <w:numPr>
          <w:ilvl w:val="0"/>
          <w:numId w:val="1002"/>
        </w:numPr>
        <w:pStyle w:val="Compact"/>
      </w:pPr>
      <w:r>
        <w:rPr>
          <w:bCs/>
          <w:b/>
        </w:rPr>
        <w:t xml:space="preserve">Intellectual Property:</w:t>
      </w:r>
      <w:r>
        <w:t xml:space="preserve"> </w:t>
      </w:r>
      <w:r>
        <w:t xml:space="preserve">All drawings, designs, models, and documentation produced by the Architect under this Purchase Order shall become the sole property of the Purchaser upon full payment. The Architect retains the right to use the project for portfolio and academic purposes with prior written consent.</w:t>
      </w:r>
    </w:p>
    <w:p>
      <w:pPr>
        <w:numPr>
          <w:ilvl w:val="0"/>
          <w:numId w:val="1002"/>
        </w:numPr>
        <w:pStyle w:val="Compact"/>
      </w:pPr>
      <w:r>
        <w:rPr>
          <w:bCs/>
          <w:b/>
        </w:rPr>
        <w:t xml:space="preserve">Confidentiality:</w:t>
      </w:r>
      <w:r>
        <w:t xml:space="preserve"> </w:t>
      </w:r>
      <w:r>
        <w:t xml:space="preserve">The Architect shall treat all project information, site data, and commercial details as strictly confidential. This obligation survives the termination of this Purchase Order for a period of five (5) years.</w:t>
      </w:r>
    </w:p>
    <w:p>
      <w:pPr>
        <w:numPr>
          <w:ilvl w:val="0"/>
          <w:numId w:val="1002"/>
        </w:numPr>
        <w:pStyle w:val="Compact"/>
      </w:pPr>
      <w:r>
        <w:rPr>
          <w:bCs/>
          <w:b/>
        </w:rPr>
        <w:t xml:space="preserve">Insurance:</w:t>
      </w:r>
      <w:r>
        <w:t xml:space="preserve"> </w:t>
      </w:r>
      <w:r>
        <w:t xml:space="preserve">The Architect shall maintain professional indemnity insurance with a minimum coverage of RM 5,000,000 per occurrence throughout the duration of the engagement in Malaysia Kuala Lumpur.</w:t>
      </w:r>
    </w:p>
    <w:p>
      <w:pPr>
        <w:numPr>
          <w:ilvl w:val="0"/>
          <w:numId w:val="1002"/>
        </w:numPr>
        <w:pStyle w:val="Compact"/>
      </w:pPr>
      <w:r>
        <w:rPr>
          <w:bCs/>
          <w:b/>
        </w:rPr>
        <w:t xml:space="preserve">Termination:</w:t>
      </w:r>
      <w:r>
        <w:t xml:space="preserve"> </w:t>
      </w:r>
      <w:r>
        <w:t xml:space="preserve">Either party may terminate this Purchase Order with thirty (30) days' written notice. In the event of termination, the Architect shall be compensated for all services rendered up to the date of termination, less any amounts already paid.</w:t>
      </w:r>
    </w:p>
    <w:p>
      <w:pPr>
        <w:numPr>
          <w:ilvl w:val="0"/>
          <w:numId w:val="1002"/>
        </w:numPr>
        <w:pStyle w:val="Compact"/>
      </w:pPr>
      <w:r>
        <w:rPr>
          <w:bCs/>
          <w:b/>
        </w:rPr>
        <w:t xml:space="preserve">Force Majeure:</w:t>
      </w:r>
      <w:r>
        <w:t xml:space="preserve"> </w:t>
      </w:r>
      <w:r>
        <w:t xml:space="preserve">Neither party shall be liable for delays caused by events beyond reasonable control, including but not limited to natural disasters, government actions, or public health emergencies affecting Malaysia Kuala Lumpur.</w:t>
      </w:r>
    </w:p>
    <w:p>
      <w:pPr>
        <w:numPr>
          <w:ilvl w:val="0"/>
          <w:numId w:val="1002"/>
        </w:numPr>
        <w:pStyle w:val="Compact"/>
      </w:pPr>
      <w:r>
        <w:rPr>
          <w:bCs/>
          <w:b/>
        </w:rPr>
        <w:t xml:space="preserve">Compliance:</w:t>
      </w:r>
      <w:r>
        <w:t xml:space="preserve"> </w:t>
      </w:r>
      <w:r>
        <w:t xml:space="preserve">The Architect shall ensure full compliance with the Environmental Impact Assessment (EIA) requirements, the National Land Code, and all planning regulations applicable to developments in Malaysia Kuala Lumpur.</w:t>
      </w:r>
    </w:p>
    <w:bookmarkEnd w:id="26"/>
    <w:bookmarkStart w:id="27" w:name="acceptance-and-authorisation"/>
    <w:p>
      <w:pPr>
        <w:pStyle w:val="Heading2"/>
      </w:pPr>
      <w:r>
        <w:t xml:space="preserve">5. Acceptance and Authorisation</w:t>
      </w:r>
    </w:p>
    <w:p>
      <w:pPr>
        <w:pStyle w:val="FirstParagraph"/>
      </w:pPr>
      <w:r>
        <w:t xml:space="preserve">By signing below, both parties acknowledge and agree to the terms, conditions, and scope of work outlined in this Purchase Order for the Architect services to be delivered in Malaysia Kuala Lumpur. This document constitutes a binding agreement upon countersignature by both the Purchaser and the Architect firm.</w:t>
      </w:r>
    </w:p>
    <w:p>
      <w:pPr>
        <w:pStyle w:val="BodyText"/>
      </w:pPr>
      <w:r>
        <w:rPr>
          <w:bCs/>
          <w:b/>
        </w:rPr>
        <w:t xml:space="preserve">For and on behalf of the Purchaser:</w:t>
      </w:r>
    </w:p>
    <w:p>
      <w:pPr>
        <w:pStyle w:val="BodyText"/>
      </w:pPr>
      <w:r>
        <w:t xml:space="preserve">Meridian Development Sdn. Bhd.</w:t>
      </w:r>
    </w:p>
    <w:p>
      <w:pPr>
        <w:pStyle w:val="BodyText"/>
      </w:pPr>
      <w:r>
        <w:t xml:space="preserve">Name: Tan Wei Keat</w:t>
      </w:r>
      <w:r>
        <w:br/>
      </w:r>
      <w:r>
        <w:t xml:space="preserve">Designation: Chief Procurement Officer</w:t>
      </w:r>
      <w:r>
        <w:br/>
      </w:r>
      <w:r>
        <w:t xml:space="preserve">Signature: _________________________</w:t>
      </w:r>
      <w:r>
        <w:br/>
      </w:r>
      <w:r>
        <w:t xml:space="preserve">Date: _________________________</w:t>
      </w:r>
    </w:p>
    <w:p>
      <w:pPr>
        <w:pStyle w:val="BodyText"/>
      </w:pPr>
      <w:r>
        <w:rPr>
          <w:bCs/>
          <w:b/>
        </w:rPr>
        <w:t xml:space="preserve">For and on behalf of the Architect:</w:t>
      </w:r>
    </w:p>
    <w:p>
      <w:pPr>
        <w:pStyle w:val="BodyText"/>
      </w:pPr>
      <w:r>
        <w:t xml:space="preserve">Studio Nusantara Architects Sdn. Bhd.</w:t>
      </w:r>
    </w:p>
    <w:p>
      <w:pPr>
        <w:pStyle w:val="BodyText"/>
      </w:pPr>
      <w:r>
        <w:t xml:space="preserve">Name: Ar. Nurul Aisyah binti Hassan</w:t>
      </w:r>
      <w:r>
        <w:br/>
      </w:r>
      <w:r>
        <w:t xml:space="preserve">Designation: Principal Architect (Reg. No. A-04521)</w:t>
      </w:r>
      <w:r>
        <w:br/>
      </w:r>
      <w:r>
        <w:t xml:space="preserve">Signature: _________________________</w:t>
      </w:r>
      <w:r>
        <w:br/>
      </w:r>
      <w:r>
        <w:t xml:space="preserve">Date: _________________________</w:t>
      </w:r>
    </w:p>
    <w:p>
      <w:pPr>
        <w:pStyle w:val="BodyText"/>
      </w:pPr>
      <w:r>
        <w:rPr>
          <w:bCs/>
          <w:b/>
        </w:rPr>
        <w:t xml:space="preserve">Important Notice:</w:t>
      </w:r>
      <w:r>
        <w:t xml:space="preserve"> </w:t>
      </w:r>
      <w:r>
        <w:t xml:space="preserve">This Purchase Order (PO-MD-2025-00847) is a controlled document issued by Meridian Development Sdn. Bhd. for the procurement of Architect services in Malaysia Kuala Lumpur. Any amendments to this Purchase Order must be made in writing and signed by both parties. This document is valid for a period of thirty (30) days from the date of issue. For queries regarding this Purchase Order, please contact the Procurement Department at procurement@meridiandev.com.my or call +603-2180 4455. All Architect deliverables must be submitted to the project office at Level 28, Menara Meridian, Malaysia Kuala Lumpur.</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Architect Services - Malaysia Kuala Lumpur</dc:title>
  <dc:creator/>
  <dc:language>en</dc:language>
  <cp:keywords/>
  <dcterms:created xsi:type="dcterms:W3CDTF">2026-10-10T09:11:41Z</dcterms:created>
  <dcterms:modified xsi:type="dcterms:W3CDTF">2026-10-10T09:11:41Z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