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PO-MX-2025-04782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t xml:space="preserve">ARCHITECT SERVICES</w:t>
      </w:r>
    </w:p>
    <w:p>
      <w:pPr>
        <w:pStyle w:val="BodyText"/>
      </w:pPr>
      <w:r>
        <w:t xml:space="preserve">MEXICO, MEXICO CITY</w:t>
      </w:r>
    </w:p>
    <w:bookmarkStart w:id="20" w:name="parties-to-this-purchase-order"/>
    <w:p>
      <w:pPr>
        <w:pStyle w:val="Heading2"/>
      </w:pPr>
      <w:r>
        <w:t xml:space="preserve">1. PARTIES TO THIS PURCHASE ORDER</w:t>
      </w:r>
    </w:p>
    <w:p>
      <w:pPr>
        <w:pStyle w:val="FirstParagraph"/>
      </w:pPr>
      <w:r>
        <w:rPr>
          <w:bCs/>
          <w:b/>
        </w:rPr>
        <w:t xml:space="preserve">BUYER (Client):</w:t>
      </w:r>
    </w:p>
    <w:p>
      <w:pPr>
        <w:pStyle w:val="BodyText"/>
      </w:pPr>
      <w:r>
        <w:t xml:space="preserve">Grupo Inmobiliario del Valle, S.A. de C.V.</w:t>
      </w:r>
    </w:p>
    <w:p>
      <w:pPr>
        <w:pStyle w:val="BodyText"/>
      </w:pPr>
      <w:r>
        <w:t xml:space="preserve">Av. Paseo de la Reforma 505, Piso 12, Col. Cuauhtémoc</w:t>
      </w:r>
    </w:p>
    <w:p>
      <w:pPr>
        <w:pStyle w:val="BodyText"/>
      </w:pPr>
      <w:r>
        <w:t xml:space="preserve">Mexico, Mexico City, C.P. 06500, México</w:t>
      </w:r>
    </w:p>
    <w:p>
      <w:pPr>
        <w:pStyle w:val="BodyText"/>
      </w:pPr>
      <w:r>
        <w:t xml:space="preserve">RFC: GIV980512AB3 | Tel: +52 (55) 5512-3456</w:t>
      </w:r>
    </w:p>
    <w:p>
      <w:pPr>
        <w:pStyle w:val="BodyText"/>
      </w:pPr>
      <w:r>
        <w:t xml:space="preserve">Authorized Representative: Lic. María Fernanda Gutiérrez López</w:t>
      </w:r>
    </w:p>
    <w:p>
      <w:pPr>
        <w:pStyle w:val="BodyText"/>
      </w:pPr>
      <w:r>
        <w:rPr>
          <w:bCs/>
          <w:b/>
        </w:rPr>
        <w:t xml:space="preserve">SELLER (Service Provider):</w:t>
      </w:r>
    </w:p>
    <w:p>
      <w:pPr>
        <w:pStyle w:val="BodyText"/>
      </w:pPr>
      <w:r>
        <w:t xml:space="preserve">Estudio de Arquitectura Ramírez &amp; Asociados, S.C.</w:t>
      </w:r>
    </w:p>
    <w:p>
      <w:pPr>
        <w:pStyle w:val="BodyText"/>
      </w:pPr>
      <w:r>
        <w:t xml:space="preserve">Calle Orizaba 214, Col. Roma Norte, Cuauhtémoc</w:t>
      </w:r>
    </w:p>
    <w:p>
      <w:pPr>
        <w:pStyle w:val="BodyText"/>
      </w:pPr>
      <w:r>
        <w:t xml:space="preserve">Mexico, Mexico City, C.P. 06700, México</w:t>
      </w:r>
    </w:p>
    <w:p>
      <w:pPr>
        <w:pStyle w:val="BodyText"/>
      </w:pPr>
      <w:r>
        <w:t xml:space="preserve">RFC: ERA150320CD7 | Tel: +52 (55) 5598-7654</w:t>
      </w:r>
    </w:p>
    <w:p>
      <w:pPr>
        <w:pStyle w:val="BodyText"/>
      </w:pPr>
      <w:r>
        <w:t xml:space="preserve">Authorized Representative: Arq. Carlos Eduardo Ramírez Vega</w:t>
      </w:r>
    </w:p>
    <w:p>
      <w:pPr>
        <w:pStyle w:val="BodyText"/>
      </w:pPr>
      <w:r>
        <w:t xml:space="preserve">Professional License No. (COFEPRIS/COFOM): MX-ARQ-2019-004521</w:t>
      </w:r>
    </w:p>
    <w:bookmarkEnd w:id="20"/>
    <w:bookmarkStart w:id="21" w:name="Xcbe46c9c2d45f6da966429e85a45c40a15889d5"/>
    <w:p>
      <w:pPr>
        <w:pStyle w:val="Heading2"/>
      </w:pPr>
      <w:r>
        <w:t xml:space="preserve">2. DESCRIPTION OF SERVICES – ARCHITECT ENGAGEMENT</w:t>
      </w:r>
    </w:p>
    <w:p>
      <w:pPr>
        <w:pStyle w:val="FirstParagraph"/>
      </w:pPr>
      <w:r>
        <w:t xml:space="preserve">This Purchase Order is issued by Grupo Inmobiliario del Valle, S.A. de C.V. (hereinafter referred to as the "Buyer") to formally request and authorize the professional services of an Architect, specifically Arq. Carlos Eduardo Ramírez Vega and his associated team at Estudio de Arquitectura Ramírez &amp; Asociados, S.C. (hereinafter referred to as the "Architect" or "Seller"), for the design, planning, and architectural supervision of a mixed-use commercial and residential development project located in the Colonia Juárez district of Mexico, Mexico City.</w:t>
      </w:r>
    </w:p>
    <w:p>
      <w:pPr>
        <w:pStyle w:val="BodyText"/>
      </w:pPr>
      <w:r>
        <w:t xml:space="preserve">The Architect shall be responsible for the complete architectural design process, including but not limited to: conceptual design development, schematic design, design development, construction documentation, permitting coordination with the Secretaría de Desarrollo Urbano y Vivienda (SEDUVI) of Mexico City, and on-site construction supervision. All deliverables must comply with the Reglamento de Construcciones para el Distrito Federal, the current Normas Oficiales Mexicanas (NOM) applicable to building design, and all municipal zoning regulations in force in Mexico, Mexico City.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Conceptual Design and Feasibility Study – Mixed-Use Development (12,500 m² GFA), including site analysis, massing studies, and preliminary architectural programming in Mexico,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Schematic Design Development – Floor plans, elevations, sections, and 3D renderings for all building typologies (residential, commercial, parking)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Design Development and Construction Documentation – Complete architectural drawings, specifications, and technical details for construction bidding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Permitting and Regulatory Compliance – Preparation and submission of all architectural documentation required by SEDUVI and the Alcaldía Cuauhtémoc in Mexico, Mexico City, including environmental impact assessments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Construction Supervision and Site Visits – Bi-weekly on-site inspections, progress reporting, and coordination with general contractor for a period of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95,000.00</w:t>
            </w:r>
          </w:p>
        </w:tc>
        <w:tc>
          <w:tcPr/>
          <w:p>
            <w:pPr>
              <w:pStyle w:val="Compact"/>
              <w:jc w:val="left"/>
            </w:pPr>
            <w:r>
              <w:t xml:space="preserve">1,710,000.00</w:t>
            </w:r>
          </w:p>
        </w:tc>
      </w:tr>
      <w:tr>
        <w:tc>
          <w:tcPr/>
          <w:p>
            <w:pPr>
              <w:pStyle w:val="Compact"/>
              <w:jc w:val="left"/>
            </w:pPr>
            <w:r>
              <w:t xml:space="preserve">06</w:t>
            </w:r>
          </w:p>
        </w:tc>
        <w:tc>
          <w:tcPr/>
          <w:p>
            <w:pPr>
              <w:pStyle w:val="Compact"/>
              <w:jc w:val="left"/>
            </w:pPr>
            <w:r>
              <w:t xml:space="preserve">Interior Architecture and Landscape Design – Design of common areas, lobby, rooftop terrace, and surrounding green spaces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07</w:t>
            </w:r>
          </w:p>
        </w:tc>
        <w:tc>
          <w:tcPr/>
          <w:p>
            <w:pPr>
              <w:pStyle w:val="Compact"/>
              <w:jc w:val="left"/>
            </w:pPr>
            <w:r>
              <w:t xml:space="preserve">As-Built Documentation and Final Handover – Compilation of all final drawings, certificates of occupancy support, and project closeout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left"/>
            </w:pPr>
            <w:r>
              <w:rPr>
                <w:bCs/>
                <w:b/>
              </w:rPr>
              <w:t xml:space="preserve">SUBTOTAL (MXN)</w:t>
            </w:r>
          </w:p>
        </w:tc>
        <w:tc>
          <w:tcPr/>
          <w:p>
            <w:pPr>
              <w:pStyle w:val="Compact"/>
              <w:jc w:val="left"/>
            </w:pPr>
            <w:r>
              <w:rPr>
                <w:bCs/>
                <w:b/>
              </w:rPr>
              <w:t xml:space="preserve">5,380,000.00</w:t>
            </w:r>
          </w:p>
        </w:tc>
      </w:tr>
      <w:tr>
        <w:tc>
          <w:tcPr>
            <w:gridSpan w:val="5"/>
          </w:tcPr>
          <w:p>
            <w:pPr>
              <w:pStyle w:val="Compact"/>
              <w:jc w:val="left"/>
            </w:pPr>
            <w:r>
              <w:rPr>
                <w:bCs/>
                <w:b/>
              </w:rPr>
              <w:t xml:space="preserve">IVA (16% VAT – Mexico)</w:t>
            </w:r>
          </w:p>
        </w:tc>
        <w:tc>
          <w:tcPr/>
          <w:p>
            <w:pPr>
              <w:pStyle w:val="Compact"/>
              <w:jc w:val="left"/>
            </w:pPr>
            <w:r>
              <w:rPr>
                <w:bCs/>
                <w:b/>
              </w:rPr>
              <w:t xml:space="preserve">860,800.00</w:t>
            </w:r>
          </w:p>
        </w:tc>
      </w:tr>
      <w:tr>
        <w:tc>
          <w:tcPr>
            <w:gridSpan w:val="5"/>
          </w:tcPr>
          <w:p>
            <w:pPr>
              <w:pStyle w:val="Compact"/>
              <w:jc w:val="left"/>
            </w:pPr>
            <w:r>
              <w:rPr>
                <w:bCs/>
                <w:b/>
              </w:rPr>
              <w:t xml:space="preserve">TOTAL AMOUNT DUE (MXN)</w:t>
            </w:r>
          </w:p>
        </w:tc>
        <w:tc>
          <w:tcPr/>
          <w:p>
            <w:pPr>
              <w:pStyle w:val="Compact"/>
              <w:jc w:val="left"/>
            </w:pPr>
            <w:r>
              <w:rPr>
                <w:bCs/>
                <w:b/>
              </w:rPr>
              <w:t xml:space="preserve">6,240,800.00</w:t>
            </w:r>
          </w:p>
        </w:tc>
      </w:tr>
    </w:tbl>
    <w:bookmarkEnd w:id="22"/>
    <w:bookmarkStart w:id="23" w:name="payment-terms"/>
    <w:p>
      <w:pPr>
        <w:pStyle w:val="Heading2"/>
      </w:pPr>
      <w:r>
        <w:t xml:space="preserve">4. PAYMENT TERMS</w:t>
      </w:r>
    </w:p>
    <w:p>
      <w:pPr>
        <w:pStyle w:val="FirstParagraph"/>
      </w:pPr>
      <w:r>
        <w:t xml:space="preserve">Payment for the Architect services outlined in this Purchase Order shall be made in accordance with the following milestone schedule, all amounts denominated in Mexican Pesos (MXN) and payable via bank transfer to the account designated by Estudio de Arquitectura Ramírez &amp; Asociados, S.C.:</w:t>
      </w:r>
    </w:p>
    <w:p>
      <w:pPr>
        <w:numPr>
          <w:ilvl w:val="0"/>
          <w:numId w:val="1001"/>
        </w:numPr>
        <w:pStyle w:val="Compact"/>
      </w:pPr>
      <w:r>
        <w:rPr>
          <w:bCs/>
          <w:b/>
        </w:rPr>
        <w:t xml:space="preserve">30% Advance Payment:</w:t>
      </w:r>
      <w:r>
        <w:t xml:space="preserve"> </w:t>
      </w:r>
      <w:r>
        <w:t xml:space="preserve">Due upon execution of this Purchase Order and commencement of the Conceptual Design phase (Item 01).</w:t>
      </w:r>
    </w:p>
    <w:p>
      <w:pPr>
        <w:numPr>
          <w:ilvl w:val="0"/>
          <w:numId w:val="1001"/>
        </w:numPr>
        <w:pStyle w:val="Compact"/>
      </w:pPr>
      <w:r>
        <w:rPr>
          <w:bCs/>
          <w:b/>
        </w:rPr>
        <w:t xml:space="preserve">25% Milestone Payment:</w:t>
      </w:r>
      <w:r>
        <w:t xml:space="preserve"> </w:t>
      </w:r>
      <w:r>
        <w:t xml:space="preserve">Due upon approval of Schematic Design deliverables (Item 02) by the Buyer's project committee.</w:t>
      </w:r>
    </w:p>
    <w:p>
      <w:pPr>
        <w:numPr>
          <w:ilvl w:val="0"/>
          <w:numId w:val="1001"/>
        </w:numPr>
        <w:pStyle w:val="Compact"/>
      </w:pPr>
      <w:r>
        <w:rPr>
          <w:bCs/>
          <w:b/>
        </w:rPr>
        <w:t xml:space="preserve">25% Milestone Payment:</w:t>
      </w:r>
      <w:r>
        <w:t xml:space="preserve"> </w:t>
      </w:r>
      <w:r>
        <w:t xml:space="preserve">Due upon delivery of complete Construction Documentation (Item 03) and successful submission of permitting documents (Item 04).</w:t>
      </w:r>
    </w:p>
    <w:p>
      <w:pPr>
        <w:numPr>
          <w:ilvl w:val="0"/>
          <w:numId w:val="1001"/>
        </w:numPr>
        <w:pStyle w:val="Compact"/>
      </w:pPr>
      <w:r>
        <w:rPr>
          <w:bCs/>
          <w:b/>
        </w:rPr>
        <w:t xml:space="preserve">15% Monthly Retainer:</w:t>
      </w:r>
      <w:r>
        <w:t xml:space="preserve"> </w:t>
      </w:r>
      <w:r>
        <w:t xml:space="preserve">Payable monthly during the Construction Supervision period (Item 05), due on the 5th business day of each month.</w:t>
      </w:r>
    </w:p>
    <w:p>
      <w:pPr>
        <w:numPr>
          <w:ilvl w:val="0"/>
          <w:numId w:val="1001"/>
        </w:numPr>
        <w:pStyle w:val="Compact"/>
      </w:pPr>
      <w:r>
        <w:rPr>
          <w:bCs/>
          <w:b/>
        </w:rPr>
        <w:t xml:space="preserve">5% Final Payment:</w:t>
      </w:r>
      <w:r>
        <w:t xml:space="preserve"> </w:t>
      </w:r>
      <w:r>
        <w:t xml:space="preserve">Due upon completion of As-Built Documentation (Item 07) and formal project handover.</w:t>
      </w:r>
    </w:p>
    <w:p>
      <w:pPr>
        <w:pStyle w:val="FirstParagraph"/>
      </w:pPr>
      <w:r>
        <w:t xml:space="preserve">All invoices must include the corresponding CFDI (Comprobante Fiscal Digital por Internet) as required by the Servicio de Administración Tributaria (SAT) of Mexico. Late payments shall accrue interest at the rate established by the Ley de Instituciones de Crédito, applicable in Mexico, Mexico City.</w:t>
      </w:r>
    </w:p>
    <w:bookmarkEnd w:id="23"/>
    <w:bookmarkStart w:id="24" w:name="project-timeline-and-delivery-schedule"/>
    <w:p>
      <w:pPr>
        <w:pStyle w:val="Heading2"/>
      </w:pPr>
      <w:r>
        <w:t xml:space="preserve">5. PROJECT TIMELINE AND DELIVERY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Deliverables</w:t>
            </w:r>
          </w:p>
        </w:tc>
      </w:tr>
      <w:tr>
        <w:tc>
          <w:tcPr/>
          <w:p>
            <w:pPr>
              <w:pStyle w:val="Compact"/>
              <w:jc w:val="left"/>
            </w:pPr>
            <w:r>
              <w:t xml:space="preserve">Conceptual Design</w:t>
            </w:r>
          </w:p>
        </w:tc>
        <w:tc>
          <w:tcPr/>
          <w:p>
            <w:pPr>
              <w:pStyle w:val="Compact"/>
              <w:jc w:val="left"/>
            </w:pPr>
            <w:r>
              <w:t xml:space="preserve">June 20, 2025</w:t>
            </w:r>
          </w:p>
        </w:tc>
        <w:tc>
          <w:tcPr/>
          <w:p>
            <w:pPr>
              <w:pStyle w:val="Compact"/>
              <w:jc w:val="left"/>
            </w:pPr>
            <w:r>
              <w:t xml:space="preserve">August 15, 2025</w:t>
            </w:r>
          </w:p>
        </w:tc>
        <w:tc>
          <w:tcPr/>
          <w:p>
            <w:pPr>
              <w:pStyle w:val="Compact"/>
              <w:jc w:val="left"/>
            </w:pPr>
            <w:r>
              <w:t xml:space="preserve">Feasibility report, massing models, program</w:t>
            </w:r>
          </w:p>
        </w:tc>
      </w:tr>
      <w:tr>
        <w:tc>
          <w:tcPr/>
          <w:p>
            <w:pPr>
              <w:pStyle w:val="Compact"/>
              <w:jc w:val="left"/>
            </w:pPr>
            <w:r>
              <w:t xml:space="preserve">Schematic Design</w:t>
            </w:r>
          </w:p>
        </w:tc>
        <w:tc>
          <w:tcPr/>
          <w:p>
            <w:pPr>
              <w:pStyle w:val="Compact"/>
              <w:jc w:val="left"/>
            </w:pPr>
            <w:r>
              <w:t xml:space="preserve">August 18, 2025</w:t>
            </w:r>
          </w:p>
        </w:tc>
        <w:tc>
          <w:tcPr/>
          <w:p>
            <w:pPr>
              <w:pStyle w:val="Compact"/>
              <w:jc w:val="left"/>
            </w:pPr>
            <w:r>
              <w:t xml:space="preserve">October 31, 2025</w:t>
            </w:r>
          </w:p>
        </w:tc>
        <w:tc>
          <w:tcPr/>
          <w:p>
            <w:pPr>
              <w:pStyle w:val="Compact"/>
              <w:jc w:val="left"/>
            </w:pPr>
            <w:r>
              <w:t xml:space="preserve">Plans, elevations, 3D visualizations</w:t>
            </w:r>
          </w:p>
        </w:tc>
      </w:tr>
      <w:tr>
        <w:tc>
          <w:tcPr/>
          <w:p>
            <w:pPr>
              <w:pStyle w:val="Compact"/>
              <w:jc w:val="left"/>
            </w:pPr>
            <w:r>
              <w:t xml:space="preserve">Design Development &amp; Documentation</w:t>
            </w:r>
          </w:p>
        </w:tc>
        <w:tc>
          <w:tcPr/>
          <w:p>
            <w:pPr>
              <w:pStyle w:val="Compact"/>
              <w:jc w:val="left"/>
            </w:pPr>
            <w:r>
              <w:t xml:space="preserve">November 3, 2025</w:t>
            </w:r>
          </w:p>
        </w:tc>
        <w:tc>
          <w:tcPr/>
          <w:p>
            <w:pPr>
              <w:pStyle w:val="Compact"/>
              <w:jc w:val="left"/>
            </w:pPr>
            <w:r>
              <w:t xml:space="preserve">February 28, 2026</w:t>
            </w:r>
          </w:p>
        </w:tc>
        <w:tc>
          <w:tcPr/>
          <w:p>
            <w:pPr>
              <w:pStyle w:val="Compact"/>
              <w:jc w:val="left"/>
            </w:pPr>
            <w:r>
              <w:t xml:space="preserve">Full construction set, specifications</w:t>
            </w:r>
          </w:p>
        </w:tc>
      </w:tr>
      <w:tr>
        <w:tc>
          <w:tcPr/>
          <w:p>
            <w:pPr>
              <w:pStyle w:val="Compact"/>
              <w:jc w:val="left"/>
            </w:pPr>
            <w:r>
              <w:t xml:space="preserve">Permitting</w:t>
            </w:r>
          </w:p>
        </w:tc>
        <w:tc>
          <w:tcPr/>
          <w:p>
            <w:pPr>
              <w:pStyle w:val="Compact"/>
              <w:jc w:val="left"/>
            </w:pPr>
            <w:r>
              <w:t xml:space="preserve">January 15, 2026</w:t>
            </w:r>
          </w:p>
        </w:tc>
        <w:tc>
          <w:tcPr/>
          <w:p>
            <w:pPr>
              <w:pStyle w:val="Compact"/>
              <w:jc w:val="left"/>
            </w:pPr>
            <w:r>
              <w:t xml:space="preserve">April 30, 2026</w:t>
            </w:r>
          </w:p>
        </w:tc>
        <w:tc>
          <w:tcPr/>
          <w:p>
            <w:pPr>
              <w:pStyle w:val="Compact"/>
              <w:jc w:val="left"/>
            </w:pPr>
            <w:r>
              <w:t xml:space="preserve">SEDUVI permits, compliance certificates</w:t>
            </w:r>
          </w:p>
        </w:tc>
      </w:tr>
      <w:tr>
        <w:tc>
          <w:tcPr/>
          <w:p>
            <w:pPr>
              <w:pStyle w:val="Compact"/>
              <w:jc w:val="left"/>
            </w:pPr>
            <w:r>
              <w:t xml:space="preserve">Construction Supervision</w:t>
            </w:r>
          </w:p>
        </w:tc>
        <w:tc>
          <w:tcPr/>
          <w:p>
            <w:pPr>
              <w:pStyle w:val="Compact"/>
              <w:jc w:val="left"/>
            </w:pPr>
            <w:r>
              <w:t xml:space="preserve">May 1, 2026</w:t>
            </w:r>
          </w:p>
        </w:tc>
        <w:tc>
          <w:tcPr/>
          <w:p>
            <w:pPr>
              <w:pStyle w:val="Compact"/>
              <w:jc w:val="left"/>
            </w:pPr>
            <w:r>
              <w:t xml:space="preserve">October 31, 2027</w:t>
            </w:r>
          </w:p>
        </w:tc>
        <w:tc>
          <w:tcPr/>
          <w:p>
            <w:pPr>
              <w:pStyle w:val="Compact"/>
              <w:jc w:val="left"/>
            </w:pPr>
            <w:r>
              <w:t xml:space="preserve">Monthly reports, site inspection logs</w:t>
            </w:r>
          </w:p>
        </w:tc>
      </w:tr>
      <w:tr>
        <w:tc>
          <w:tcPr/>
          <w:p>
            <w:pPr>
              <w:pStyle w:val="Compact"/>
              <w:jc w:val="left"/>
            </w:pPr>
            <w:r>
              <w:t xml:space="preserve">As-Built &amp; Handover</w:t>
            </w:r>
          </w:p>
        </w:tc>
        <w:tc>
          <w:tcPr/>
          <w:p>
            <w:pPr>
              <w:pStyle w:val="Compact"/>
              <w:jc w:val="left"/>
            </w:pPr>
            <w:r>
              <w:t xml:space="preserve">November 1, 2027</w:t>
            </w:r>
          </w:p>
        </w:tc>
        <w:tc>
          <w:tcPr/>
          <w:p>
            <w:pPr>
              <w:pStyle w:val="Compact"/>
              <w:jc w:val="left"/>
            </w:pPr>
            <w:r>
              <w:t xml:space="preserve">December 15, 2027</w:t>
            </w:r>
          </w:p>
        </w:tc>
        <w:tc>
          <w:tcPr/>
          <w:p>
            <w:pPr>
              <w:pStyle w:val="Compact"/>
              <w:jc w:val="left"/>
            </w:pPr>
            <w:r>
              <w:t xml:space="preserve">Final drawings, occupancy support docs</w:t>
            </w:r>
          </w:p>
        </w:tc>
      </w:tr>
    </w:tbl>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interpreted in accordance with the Civil Code of the Federal District (now Mexico City) and the applicable commercial laws of the United Mexican States. Any disputes arising from this Purchase Order shall be resolved through arbitration in Mexico, Mexico City, in accordance with the rules of the Centro de Arbitraje de la Cámara de Comercio de México.</w:t>
      </w:r>
    </w:p>
    <w:p>
      <w:pPr>
        <w:numPr>
          <w:ilvl w:val="0"/>
          <w:numId w:val="1002"/>
        </w:numPr>
        <w:pStyle w:val="Compact"/>
      </w:pPr>
      <w:r>
        <w:rPr>
          <w:bCs/>
          <w:b/>
        </w:rPr>
        <w:t xml:space="preserve">Professional Liability:</w:t>
      </w:r>
      <w:r>
        <w:t xml:space="preserve"> </w:t>
      </w:r>
      <w:r>
        <w:t xml:space="preserve">The Architect warrants that all services shall be performed in a professional, competent, and diligent manner consistent with the standards of practice established by the Colegio de Arquitectos de la Ciudad de México. The Architect shall maintain professional liability insurance with a minimum coverage of MXN 10,000,000 for the duration of the project.</w:t>
      </w:r>
    </w:p>
    <w:p>
      <w:pPr>
        <w:numPr>
          <w:ilvl w:val="0"/>
          <w:numId w:val="1002"/>
        </w:numPr>
        <w:pStyle w:val="Compact"/>
      </w:pPr>
      <w:r>
        <w:rPr>
          <w:bCs/>
          <w:b/>
        </w:rPr>
        <w:t xml:space="preserve">Intellectual Property:</w:t>
      </w:r>
      <w:r>
        <w:t xml:space="preserve"> </w:t>
      </w:r>
      <w:r>
        <w:t xml:space="preserve">All architectural drawings, designs, models, and documentation produced under this Purchase Order shall become the exclusive property of the Buyer upon full payment. The Architect retains the right to display the completed project in professional portfolios subject to the Buyer's written approval.</w:t>
      </w:r>
    </w:p>
    <w:p>
      <w:pPr>
        <w:numPr>
          <w:ilvl w:val="0"/>
          <w:numId w:val="1002"/>
        </w:numPr>
        <w:pStyle w:val="Compact"/>
      </w:pPr>
      <w:r>
        <w:rPr>
          <w:bCs/>
          <w:b/>
        </w:rPr>
        <w:t xml:space="preserve">Compliance with Local Regulations:</w:t>
      </w:r>
      <w:r>
        <w:t xml:space="preserve"> </w:t>
      </w:r>
      <w:r>
        <w:t xml:space="preserve">The Architect certifies that all design work shall comply with the current building codes, zoning regulations, accessibility standards (NOM-001-SEDE), and environmental regulations in force in Mexico, Mexico City. The Architect is solely responsible for ensuring regulatory compliance of all submitted documentation.</w:t>
      </w:r>
    </w:p>
    <w:p>
      <w:pPr>
        <w:numPr>
          <w:ilvl w:val="0"/>
          <w:numId w:val="1002"/>
        </w:numPr>
        <w:pStyle w:val="Compact"/>
      </w:pPr>
      <w:r>
        <w:rPr>
          <w:bCs/>
          <w:b/>
        </w:rPr>
        <w:t xml:space="preserve">Confidentiality:</w:t>
      </w:r>
      <w:r>
        <w:t xml:space="preserve"> </w:t>
      </w:r>
      <w:r>
        <w:t xml:space="preserve">Both parties agree to maintain strict confidentiality regarding all project information, financial terms of this Purchase Order, and proprietary data exchanged during the engagement.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Architect services rendered up to the date of termination, plus any non-cancellable third-party costs.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as may be declared in Mexico, Mexico City.</w:t>
      </w:r>
    </w:p>
    <w:bookmarkEnd w:id="25"/>
    <w:bookmarkStart w:id="26" w:name="authorized-signatures"/>
    <w:p>
      <w:pPr>
        <w:pStyle w:val="Heading2"/>
      </w:pPr>
      <w:r>
        <w:t xml:space="preserve">7. AUTHORIZED SIGNATURES</w:t>
      </w:r>
    </w:p>
    <w:p>
      <w:pPr>
        <w:pStyle w:val="FirstParagraph"/>
      </w:pPr>
      <w:r>
        <w:rPr>
          <w:bCs/>
          <w:b/>
        </w:rPr>
        <w:t xml:space="preserve">FOR THE BUYER:</w:t>
      </w:r>
    </w:p>
    <w:p>
      <w:pPr>
        <w:pStyle w:val="BodyText"/>
      </w:pPr>
      <w:r>
        <w:t xml:space="preserve">Grupo Inmobiliario del Valle, S.A. de C.V.</w:t>
      </w:r>
    </w:p>
    <w:p>
      <w:pPr>
        <w:pStyle w:val="BodyText"/>
      </w:pPr>
      <w:r>
        <w:t xml:space="preserve">Lic. María Fernanda Gutiérrez López</w:t>
      </w:r>
    </w:p>
    <w:p>
      <w:pPr>
        <w:pStyle w:val="BodyText"/>
      </w:pPr>
      <w:r>
        <w:t xml:space="preserve">Director General</w:t>
      </w:r>
    </w:p>
    <w:p>
      <w:pPr>
        <w:pStyle w:val="BodyText"/>
      </w:pPr>
      <w:r>
        <w:t xml:space="preserve">Date: ____________________</w:t>
      </w:r>
    </w:p>
    <w:p>
      <w:pPr>
        <w:pStyle w:val="BodyText"/>
      </w:pPr>
      <w:r>
        <w:rPr>
          <w:bCs/>
          <w:b/>
        </w:rPr>
        <w:t xml:space="preserve">FOR THE SELLER (ARCHITECT):</w:t>
      </w:r>
    </w:p>
    <w:p>
      <w:pPr>
        <w:pStyle w:val="BodyText"/>
      </w:pPr>
      <w:r>
        <w:t xml:space="preserve">Estudio de Arquitectura Ramírez &amp; Asociados, S.C.</w:t>
      </w:r>
    </w:p>
    <w:p>
      <w:pPr>
        <w:pStyle w:val="BodyText"/>
      </w:pPr>
      <w:r>
        <w:t xml:space="preserve">Arq. Carlos Eduardo Ramírez Vega</w:t>
      </w:r>
    </w:p>
    <w:p>
      <w:pPr>
        <w:pStyle w:val="BodyText"/>
      </w:pPr>
      <w:r>
        <w:t xml:space="preserve">Lead Architect / Socio Director</w:t>
      </w:r>
    </w:p>
    <w:p>
      <w:pPr>
        <w:pStyle w:val="BodyText"/>
      </w:pPr>
      <w:r>
        <w:t xml:space="preserve">Date: ____________________</w:t>
      </w:r>
    </w:p>
    <w:p>
      <w:pPr>
        <w:pStyle w:val="BodyText"/>
      </w:pPr>
      <w:r>
        <w:t xml:space="preserve">This Purchase Order constitutes a binding agreement between the parties upon signature. All communications regarding this Purchase Order shall be directed to the addresses listed above in Mexico, Mexico City. Document reference: PO-MX-2025-04782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Mexico Mexico City</dc:title>
  <dc:creator/>
  <dc:language>en</dc:language>
  <cp:keywords/>
  <dcterms:created xsi:type="dcterms:W3CDTF">2026-10-10T09:10:48Z</dcterms:created>
  <dcterms:modified xsi:type="dcterms:W3CDTF">2026-10-10T09:10:48Z</dcterms:modified>
</cp:coreProperties>
</file>

<file path=docProps/custom.xml><?xml version="1.0" encoding="utf-8"?>
<Properties xmlns="http://schemas.openxmlformats.org/officeDocument/2006/custom-properties" xmlns:vt="http://schemas.openxmlformats.org/officeDocument/2006/docPropsVTypes"/>
</file>