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7" w:name="purchase-order"/>
    <w:p>
      <w:pPr>
        <w:pStyle w:val="Heading1"/>
      </w:pPr>
      <w:r>
        <w:t xml:space="preserve">PURCHASE ORDER</w:t>
      </w:r>
    </w:p>
    <w:p>
      <w:pPr>
        <w:pStyle w:val="FirstParagraph"/>
      </w:pPr>
      <w:r>
        <w:t xml:space="preserve">Architectural Design &amp; Consulting Services — Morocco Casablanca</w:t>
      </w:r>
    </w:p>
    <w:bookmarkStart w:id="20" w:name="issuing-company"/>
    <w:p>
      <w:pPr>
        <w:pStyle w:val="Heading3"/>
      </w:pPr>
      <w:r>
        <w:t xml:space="preserve">Issuing Company</w:t>
      </w:r>
    </w:p>
    <w:p>
      <w:pPr>
        <w:pStyle w:val="FirstParagraph"/>
      </w:pPr>
      <w:r>
        <w:rPr>
          <w:bCs/>
          <w:b/>
        </w:rPr>
        <w:t xml:space="preserve">Atlas Horizon Developments SARL</w:t>
      </w:r>
      <w:r>
        <w:br/>
      </w:r>
      <w:r>
        <w:t xml:space="preserve">142 Boulevard Mohammed V, 6th Floor</w:t>
      </w:r>
      <w:r>
        <w:br/>
      </w:r>
      <w:r>
        <w:t xml:space="preserve">Casablanca 20250, Morocco</w:t>
      </w:r>
      <w:r>
        <w:br/>
      </w:r>
      <w:r>
        <w:t xml:space="preserve">RC: 458721 — ICE: 002345678000091</w:t>
      </w:r>
      <w:r>
        <w:br/>
      </w:r>
      <w:r>
        <w:t xml:space="preserve">TIN: 40567891</w:t>
      </w:r>
      <w:r>
        <w:br/>
      </w:r>
      <w:r>
        <w:t xml:space="preserve">Tel: +212 522-345-678</w:t>
      </w:r>
      <w:r>
        <w:br/>
      </w:r>
      <w:r>
        <w:t xml:space="preserve">Email: procurement@atlashorizon.ma</w:t>
      </w:r>
    </w:p>
    <w:bookmarkEnd w:id="20"/>
    <w:p>
      <w:pPr>
        <w:pStyle w:val="BodyText"/>
      </w:pPr>
      <w:r>
        <w:t xml:space="preserve">PO No: AHD-2025-0047</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Reference:</w:t>
      </w:r>
      <w:r>
        <w:t xml:space="preserve"> </w:t>
      </w:r>
      <w:r>
        <w:t xml:space="preserve">Casablanca Marina Tower — Phase II</w:t>
      </w:r>
      <w:r>
        <w:br/>
      </w:r>
      <w:r>
        <w:rPr>
          <w:bCs/>
          <w:b/>
        </w:rPr>
        <w:t xml:space="preserve">Location:</w:t>
      </w:r>
      <w:r>
        <w:t xml:space="preserve"> </w:t>
      </w:r>
      <w:r>
        <w:t xml:space="preserve">Morocco Casablanca, Ain Diab District</w:t>
      </w:r>
    </w:p>
    <w:bookmarkStart w:id="21" w:name="vendor-architect-information"/>
    <w:p>
      <w:pPr>
        <w:pStyle w:val="Heading2"/>
      </w:pPr>
      <w:r>
        <w:t xml:space="preserve">1. Vendor / Architect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w:t>
            </w:r>
          </w:p>
        </w:tc>
        <w:tc>
          <w:tcPr/>
          <w:p>
            <w:pPr>
              <w:pStyle w:val="Compact"/>
              <w:jc w:val="left"/>
            </w:pPr>
            <w:r>
              <w:t xml:space="preserve">Bureau d'Architecture El Fassi &amp; Partners</w:t>
            </w:r>
          </w:p>
        </w:tc>
      </w:tr>
      <w:tr>
        <w:tc>
          <w:tcPr/>
          <w:p>
            <w:pPr>
              <w:pStyle w:val="Compact"/>
              <w:jc w:val="left"/>
            </w:pPr>
            <w:r>
              <w:t xml:space="preserve">Lead Architect</w:t>
            </w:r>
          </w:p>
        </w:tc>
        <w:tc>
          <w:tcPr/>
          <w:p>
            <w:pPr>
              <w:pStyle w:val="Compact"/>
              <w:jc w:val="left"/>
            </w:pPr>
            <w:r>
              <w:t xml:space="preserve">Architect Youssef El Fassi, M.Arch, MIAU (Moroccan Institute of Architects)</w:t>
            </w:r>
          </w:p>
        </w:tc>
      </w:tr>
      <w:tr>
        <w:tc>
          <w:tcPr/>
          <w:p>
            <w:pPr>
              <w:pStyle w:val="Compact"/>
              <w:jc w:val="left"/>
            </w:pPr>
            <w:r>
              <w:t xml:space="preserve">Address</w:t>
            </w:r>
          </w:p>
        </w:tc>
        <w:tc>
          <w:tcPr/>
          <w:p>
            <w:pPr>
              <w:pStyle w:val="Compact"/>
              <w:jc w:val="left"/>
            </w:pPr>
            <w:r>
              <w:t xml:space="preserve">28 Rue Ibnou Sina, Maârif, Casablanca 20100, Morocco</w:t>
            </w:r>
          </w:p>
        </w:tc>
      </w:tr>
      <w:tr>
        <w:tc>
          <w:tcPr/>
          <w:p>
            <w:pPr>
              <w:pStyle w:val="Compact"/>
              <w:jc w:val="left"/>
            </w:pPr>
            <w:r>
              <w:t xml:space="preserve">Professional License</w:t>
            </w:r>
          </w:p>
        </w:tc>
        <w:tc>
          <w:tcPr/>
          <w:p>
            <w:pPr>
              <w:pStyle w:val="Compact"/>
              <w:jc w:val="left"/>
            </w:pPr>
            <w:r>
              <w:t xml:space="preserve">Order of Architects of Morocco — License No. MA-2003-1187</w:t>
            </w:r>
          </w:p>
        </w:tc>
      </w:tr>
      <w:tr>
        <w:tc>
          <w:tcPr/>
          <w:p>
            <w:pPr>
              <w:pStyle w:val="Compact"/>
              <w:jc w:val="left"/>
            </w:pPr>
            <w:r>
              <w:t xml:space="preserve">ICE</w:t>
            </w:r>
          </w:p>
        </w:tc>
        <w:tc>
          <w:tcPr/>
          <w:p>
            <w:pPr>
              <w:pStyle w:val="Compact"/>
              <w:jc w:val="left"/>
            </w:pPr>
            <w:r>
              <w:t xml:space="preserve">001987654000042</w:t>
            </w:r>
          </w:p>
        </w:tc>
      </w:tr>
      <w:tr>
        <w:tc>
          <w:tcPr/>
          <w:p>
            <w:pPr>
              <w:pStyle w:val="Compact"/>
              <w:jc w:val="left"/>
            </w:pPr>
            <w:r>
              <w:t xml:space="preserve">Contact</w:t>
            </w:r>
          </w:p>
        </w:tc>
        <w:tc>
          <w:tcPr/>
          <w:p>
            <w:pPr>
              <w:pStyle w:val="Compact"/>
              <w:jc w:val="left"/>
            </w:pPr>
            <w:r>
              <w:t xml:space="preserve">architect@elfassipartners.ma | +212 522-987-654</w:t>
            </w:r>
          </w:p>
        </w:tc>
      </w:tr>
      <w:tr>
        <w:tc>
          <w:tcPr/>
          <w:p>
            <w:pPr>
              <w:pStyle w:val="Compact"/>
              <w:jc w:val="left"/>
            </w:pPr>
            <w:r>
              <w:t xml:space="preserve">Bank Details</w:t>
            </w:r>
          </w:p>
        </w:tc>
        <w:tc>
          <w:tcPr/>
          <w:p>
            <w:pPr>
              <w:pStyle w:val="Compact"/>
              <w:jc w:val="left"/>
            </w:pPr>
            <w:r>
              <w:t xml:space="preserve">Bank: Attijariwafa Bank — IBAN: MA64 4002 1010 0312 3456 7890 12</w:t>
            </w:r>
          </w:p>
        </w:tc>
      </w:tr>
    </w:tbl>
    <w:bookmarkEnd w:id="21"/>
    <w:bookmarkStart w:id="22" w:name="scope-of-architectural-services"/>
    <w:p>
      <w:pPr>
        <w:pStyle w:val="Heading2"/>
      </w:pPr>
      <w:r>
        <w:t xml:space="preserve">2. Scope of Architectural Services</w:t>
      </w:r>
    </w:p>
    <w:p>
      <w:pPr>
        <w:pStyle w:val="FirstParagraph"/>
      </w:pPr>
      <w:r>
        <w:t xml:space="preserve">This Purchase Order is issued by Atlas Horizon Developments SARL to engage the above-named Architect firm for the complete architectural design, planning, and regulatory compliance services for the Casablanca Marina Tower — Phase II project, located in the Ain Diab coastal district of Morocco Casablanca. The Architect shall deliver all services in accordance with the Moroccan Urban Planning Code (Code de l'Urbanisme), the local Casablanca municipal building regulations, and the professional standards established by the Order of Architects of Morocco.</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Architect Service</w:t>
            </w:r>
          </w:p>
        </w:tc>
        <w:tc>
          <w:tcPr/>
          <w:p>
            <w:pPr>
              <w:pStyle w:val="Compact"/>
              <w:jc w:val="left"/>
            </w:pPr>
            <w:r>
              <w:t xml:space="preserve">Quantity</w:t>
            </w:r>
          </w:p>
        </w:tc>
        <w:tc>
          <w:tcPr/>
          <w:p>
            <w:pPr>
              <w:pStyle w:val="Compact"/>
              <w:jc w:val="left"/>
            </w:pPr>
            <w:r>
              <w:t xml:space="preserve">Unit (MAD)</w:t>
            </w:r>
          </w:p>
        </w:tc>
        <w:tc>
          <w:tcPr/>
          <w:p>
            <w:pPr>
              <w:pStyle w:val="Compact"/>
              <w:jc w:val="left"/>
            </w:pPr>
            <w:r>
              <w:t xml:space="preserve">Total (MAD)</w:t>
            </w:r>
          </w:p>
        </w:tc>
        <w:tc>
          <w:tcPr/>
          <w:p>
            <w:pPr>
              <w:pStyle w:val="Compact"/>
              <w:jc w:val="left"/>
            </w:pPr>
            <w:r>
              <w:t xml:space="preserve">Delivery / Milestone</w:t>
            </w:r>
          </w:p>
        </w:tc>
      </w:tr>
      <w:tr>
        <w:tc>
          <w:tcPr/>
          <w:p>
            <w:pPr>
              <w:pStyle w:val="Compact"/>
              <w:jc w:val="left"/>
            </w:pPr>
            <w:r>
              <w:t xml:space="preserve">1</w:t>
            </w:r>
          </w:p>
        </w:tc>
        <w:tc>
          <w:tcPr/>
          <w:p>
            <w:pPr>
              <w:pStyle w:val="Compact"/>
              <w:jc w:val="left"/>
            </w:pPr>
            <w:r>
              <w:t xml:space="preserve">Feasibility study and site analysis for the Morocco Casablanca coastal plot (Lot 47, Ain Diab)</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Within 30 days of PO acceptance</w:t>
            </w:r>
          </w:p>
        </w:tc>
      </w:tr>
      <w:tr>
        <w:tc>
          <w:tcPr/>
          <w:p>
            <w:pPr>
              <w:pStyle w:val="Compact"/>
              <w:jc w:val="left"/>
            </w:pPr>
            <w:r>
              <w:t xml:space="preserve">2</w:t>
            </w:r>
          </w:p>
        </w:tc>
        <w:tc>
          <w:tcPr/>
          <w:p>
            <w:pPr>
              <w:pStyle w:val="Compact"/>
              <w:jc w:val="left"/>
            </w:pPr>
            <w:r>
              <w:t xml:space="preserve">Conceptual architectural design including massing studies, orientation analysis, and preliminary floor plans for a 28-storey mixed-use tower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Within 60 days of PO acceptance</w:t>
            </w:r>
          </w:p>
        </w:tc>
      </w:tr>
      <w:tr>
        <w:tc>
          <w:tcPr/>
          <w:p>
            <w:pPr>
              <w:pStyle w:val="Compact"/>
              <w:jc w:val="left"/>
            </w:pPr>
            <w:r>
              <w:t xml:space="preserve">3</w:t>
            </w:r>
          </w:p>
        </w:tc>
        <w:tc>
          <w:tcPr/>
          <w:p>
            <w:pPr>
              <w:pStyle w:val="Compact"/>
              <w:jc w:val="left"/>
            </w:pPr>
            <w:r>
              <w:t xml:space="preserve">Detailed architectural drawings (construction set) compliant with Casablanca municipal building permit requirements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Within 120 days of PO acceptance</w:t>
            </w:r>
          </w:p>
        </w:tc>
      </w:tr>
      <w:tr>
        <w:tc>
          <w:tcPr/>
          <w:p>
            <w:pPr>
              <w:pStyle w:val="Compact"/>
              <w:jc w:val="left"/>
            </w:pPr>
            <w:r>
              <w:t xml:space="preserve">4</w:t>
            </w:r>
          </w:p>
        </w:tc>
        <w:tc>
          <w:tcPr/>
          <w:p>
            <w:pPr>
              <w:pStyle w:val="Compact"/>
              <w:jc w:val="left"/>
            </w:pPr>
            <w:r>
              <w:t xml:space="preserve">Interior architectural design for lobby, amenity floors, and residential unit types (A, B, C)</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Within 150 days of PO acceptance</w:t>
            </w:r>
          </w:p>
        </w:tc>
      </w:tr>
      <w:tr>
        <w:tc>
          <w:tcPr/>
          <w:p>
            <w:pPr>
              <w:pStyle w:val="Compact"/>
              <w:jc w:val="left"/>
            </w:pPr>
            <w:r>
              <w:t xml:space="preserve">5</w:t>
            </w:r>
          </w:p>
        </w:tc>
        <w:tc>
          <w:tcPr/>
          <w:p>
            <w:pPr>
              <w:pStyle w:val="Compact"/>
              <w:jc w:val="left"/>
            </w:pPr>
            <w:r>
              <w:t xml:space="preserve">Regulatory submission package preparation and coordination with the Casablanca Urban Planning Directorate (Direction de l'Urbanisme)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Within 180 days of PO acceptance</w:t>
            </w:r>
          </w:p>
        </w:tc>
      </w:tr>
      <w:tr>
        <w:tc>
          <w:tcPr/>
          <w:p>
            <w:pPr>
              <w:pStyle w:val="Compact"/>
              <w:jc w:val="left"/>
            </w:pPr>
            <w:r>
              <w:t xml:space="preserve">6</w:t>
            </w:r>
          </w:p>
        </w:tc>
        <w:tc>
          <w:tcPr/>
          <w:p>
            <w:pPr>
              <w:pStyle w:val="Compact"/>
              <w:jc w:val="left"/>
            </w:pPr>
            <w:r>
              <w:t xml:space="preserve">Construction-phase architectural supervision and site visits (minimum 40 site visits over 18 months)</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c>
          <w:tcPr/>
          <w:p>
            <w:pPr>
              <w:pStyle w:val="Compact"/>
              <w:jc w:val="left"/>
            </w:pPr>
            <w:r>
              <w:t xml:space="preserve">Over 18-month construction period</w:t>
            </w:r>
          </w:p>
        </w:tc>
      </w:tr>
      <w:tr>
        <w:tc>
          <w:tcPr/>
          <w:p>
            <w:pPr>
              <w:pStyle w:val="Compact"/>
              <w:jc w:val="left"/>
            </w:pPr>
            <w:r>
              <w:t xml:space="preserve">7</w:t>
            </w:r>
          </w:p>
        </w:tc>
        <w:tc>
          <w:tcPr/>
          <w:p>
            <w:pPr>
              <w:pStyle w:val="Compact"/>
              <w:jc w:val="left"/>
            </w:pPr>
            <w:r>
              <w:t xml:space="preserve">Final as-built documentation and handover to the Morocco Casablanca municipal authorities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Within 30 days of project completion</w:t>
            </w:r>
          </w:p>
        </w:tc>
      </w:tr>
      <w:tr>
        <w:tc>
          <w:tcPr>
            <w:gridSpan w:val="4"/>
          </w:tcPr>
          <w:p>
            <w:pPr>
              <w:pStyle w:val="Compact"/>
              <w:jc w:val="left"/>
            </w:pPr>
            <w:r>
              <w:t xml:space="preserve">Subtotal (MAD)</w:t>
            </w:r>
          </w:p>
        </w:tc>
        <w:tc>
          <w:tcPr/>
          <w:p>
            <w:pPr>
              <w:pStyle w:val="Compact"/>
              <w:jc w:val="left"/>
            </w:pPr>
            <w:r>
              <w:t xml:space="preserve">1,130,000</w:t>
            </w:r>
          </w:p>
        </w:tc>
        <w:tc>
          <w:tcPr/>
          <w:p>
            <w:pPr>
              <w:pStyle w:val="Compact"/>
            </w:pPr>
          </w:p>
        </w:tc>
      </w:tr>
      <w:tr>
        <w:tc>
          <w:tcPr>
            <w:gridSpan w:val="4"/>
          </w:tcPr>
          <w:p>
            <w:pPr>
              <w:pStyle w:val="Compact"/>
              <w:jc w:val="left"/>
            </w:pPr>
            <w:r>
              <w:t xml:space="preserve">VAT (20% — Moroccan standard rate)</w:t>
            </w:r>
          </w:p>
        </w:tc>
        <w:tc>
          <w:tcPr/>
          <w:p>
            <w:pPr>
              <w:pStyle w:val="Compact"/>
              <w:jc w:val="left"/>
            </w:pPr>
            <w:r>
              <w:t xml:space="preserve">226,000</w:t>
            </w:r>
          </w:p>
        </w:tc>
        <w:tc>
          <w:tcPr/>
          <w:p>
            <w:pPr>
              <w:pStyle w:val="Compact"/>
            </w:pPr>
          </w:p>
        </w:tc>
      </w:tr>
      <w:tr>
        <w:tc>
          <w:tcPr>
            <w:gridSpan w:val="4"/>
          </w:tcPr>
          <w:p>
            <w:pPr>
              <w:pStyle w:val="Compact"/>
              <w:jc w:val="left"/>
            </w:pPr>
            <w:r>
              <w:t xml:space="preserve">Grand Total (MAD)</w:t>
            </w:r>
          </w:p>
        </w:tc>
        <w:tc>
          <w:tcPr/>
          <w:p>
            <w:pPr>
              <w:pStyle w:val="Compact"/>
              <w:jc w:val="left"/>
            </w:pPr>
            <w:r>
              <w:t xml:space="preserve">1,356,000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shall be made in Moroccan Dirhams (MAD) via bank transfer to the Architect's designated account.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(MAD)</w:t>
            </w:r>
          </w:p>
        </w:tc>
        <w:tc>
          <w:tcPr/>
          <w:p>
            <w:pPr>
              <w:pStyle w:val="Compact"/>
              <w:jc w:val="left"/>
            </w:pPr>
            <w:r>
              <w:t xml:space="preserve">Trigger</w:t>
            </w:r>
          </w:p>
        </w:tc>
      </w:tr>
      <w:tr>
        <w:tc>
          <w:tcPr/>
          <w:p>
            <w:pPr>
              <w:pStyle w:val="Compact"/>
              <w:jc w:val="left"/>
            </w:pPr>
            <w:r>
              <w:t xml:space="preserve">Advance payment upon signature</w:t>
            </w:r>
          </w:p>
        </w:tc>
        <w:tc>
          <w:tcPr/>
          <w:p>
            <w:pPr>
              <w:pStyle w:val="Compact"/>
              <w:jc w:val="left"/>
            </w:pPr>
            <w:r>
              <w:t xml:space="preserve">20%</w:t>
            </w:r>
          </w:p>
        </w:tc>
        <w:tc>
          <w:tcPr/>
          <w:p>
            <w:pPr>
              <w:pStyle w:val="Compact"/>
              <w:jc w:val="left"/>
            </w:pPr>
            <w:r>
              <w:t xml:space="preserve">271,200</w:t>
            </w:r>
          </w:p>
        </w:tc>
        <w:tc>
          <w:tcPr/>
          <w:p>
            <w:pPr>
              <w:pStyle w:val="Compact"/>
              <w:jc w:val="left"/>
            </w:pPr>
            <w:r>
              <w:t xml:space="preserve">Within 10 business days of PO acceptance</w:t>
            </w:r>
          </w:p>
        </w:tc>
      </w:tr>
      <w:tr>
        <w:tc>
          <w:tcPr/>
          <w:p>
            <w:pPr>
              <w:pStyle w:val="Compact"/>
              <w:jc w:val="left"/>
            </w:pPr>
            <w:r>
              <w:t xml:space="preserve">Conceptual design approval</w:t>
            </w:r>
          </w:p>
        </w:tc>
        <w:tc>
          <w:tcPr/>
          <w:p>
            <w:pPr>
              <w:pStyle w:val="Compact"/>
              <w:jc w:val="left"/>
            </w:pPr>
            <w:r>
              <w:t xml:space="preserve">25%</w:t>
            </w:r>
          </w:p>
        </w:tc>
        <w:tc>
          <w:tcPr/>
          <w:p>
            <w:pPr>
              <w:pStyle w:val="Compact"/>
              <w:jc w:val="left"/>
            </w:pPr>
            <w:r>
              <w:t xml:space="preserve">339,000</w:t>
            </w:r>
          </w:p>
        </w:tc>
        <w:tc>
          <w:tcPr/>
          <w:p>
            <w:pPr>
              <w:pStyle w:val="Compact"/>
              <w:jc w:val="left"/>
            </w:pPr>
            <w:r>
              <w:t xml:space="preserve">Written approval by Atlas Horizon project director</w:t>
            </w:r>
          </w:p>
        </w:tc>
      </w:tr>
      <w:tr>
        <w:tc>
          <w:tcPr/>
          <w:p>
            <w:pPr>
              <w:pStyle w:val="Compact"/>
              <w:jc w:val="left"/>
            </w:pPr>
            <w:r>
              <w:t xml:space="preserve">Construction drawings delivery</w:t>
            </w:r>
          </w:p>
        </w:tc>
        <w:tc>
          <w:tcPr/>
          <w:p>
            <w:pPr>
              <w:pStyle w:val="Compact"/>
              <w:jc w:val="left"/>
            </w:pPr>
            <w:r>
              <w:t xml:space="preserve">25%</w:t>
            </w:r>
          </w:p>
        </w:tc>
        <w:tc>
          <w:tcPr/>
          <w:p>
            <w:pPr>
              <w:pStyle w:val="Compact"/>
              <w:jc w:val="left"/>
            </w:pPr>
            <w:r>
              <w:t xml:space="preserve">339,000</w:t>
            </w:r>
          </w:p>
        </w:tc>
        <w:tc>
          <w:tcPr/>
          <w:p>
            <w:pPr>
              <w:pStyle w:val="Compact"/>
              <w:jc w:val="left"/>
            </w:pPr>
            <w:r>
              <w:t xml:space="preserve">Submission of full construction set</w:t>
            </w:r>
          </w:p>
        </w:tc>
      </w:tr>
      <w:tr>
        <w:tc>
          <w:tcPr/>
          <w:p>
            <w:pPr>
              <w:pStyle w:val="Compact"/>
              <w:jc w:val="left"/>
            </w:pPr>
            <w:r>
              <w:t xml:space="preserve">Building permit obtained</w:t>
            </w:r>
          </w:p>
        </w:tc>
        <w:tc>
          <w:tcPr/>
          <w:p>
            <w:pPr>
              <w:pStyle w:val="Compact"/>
              <w:jc w:val="left"/>
            </w:pPr>
            <w:r>
              <w:t xml:space="preserve">15%</w:t>
            </w:r>
          </w:p>
        </w:tc>
        <w:tc>
          <w:tcPr/>
          <w:p>
            <w:pPr>
              <w:pStyle w:val="Compact"/>
              <w:jc w:val="left"/>
            </w:pPr>
            <w:r>
              <w:t xml:space="preserve">203,400</w:t>
            </w:r>
          </w:p>
        </w:tc>
        <w:tc>
          <w:tcPr/>
          <w:p>
            <w:pPr>
              <w:pStyle w:val="Compact"/>
              <w:jc w:val="left"/>
            </w:pPr>
            <w:r>
              <w:t xml:space="preserve">Issuance of permis de construire by Casablanca municipality</w:t>
            </w:r>
          </w:p>
        </w:tc>
      </w:tr>
      <w:tr>
        <w:tc>
          <w:tcPr/>
          <w:p>
            <w:pPr>
              <w:pStyle w:val="Compact"/>
              <w:jc w:val="left"/>
            </w:pPr>
            <w:r>
              <w:t xml:space="preserve">Construction supervision (monthly)</w:t>
            </w:r>
          </w:p>
        </w:tc>
        <w:tc>
          <w:tcPr/>
          <w:p>
            <w:pPr>
              <w:pStyle w:val="Compact"/>
              <w:jc w:val="left"/>
            </w:pPr>
            <w:r>
              <w:t xml:space="preserve">10%</w:t>
            </w:r>
          </w:p>
        </w:tc>
        <w:tc>
          <w:tcPr/>
          <w:p>
            <w:pPr>
              <w:pStyle w:val="Compact"/>
              <w:jc w:val="left"/>
            </w:pPr>
            <w:r>
              <w:t xml:space="preserve">135,600</w:t>
            </w:r>
          </w:p>
        </w:tc>
        <w:tc>
          <w:tcPr/>
          <w:p>
            <w:pPr>
              <w:pStyle w:val="Compact"/>
              <w:jc w:val="left"/>
            </w:pPr>
            <w:r>
              <w:t xml:space="preserve">Monthly progress reports accepted</w:t>
            </w:r>
          </w:p>
        </w:tc>
      </w:tr>
      <w:tr>
        <w:tc>
          <w:tcPr/>
          <w:p>
            <w:pPr>
              <w:pStyle w:val="Compact"/>
              <w:jc w:val="left"/>
            </w:pPr>
            <w:r>
              <w:t xml:space="preserve">Final handover</w:t>
            </w:r>
          </w:p>
        </w:tc>
        <w:tc>
          <w:tcPr/>
          <w:p>
            <w:pPr>
              <w:pStyle w:val="Compact"/>
              <w:jc w:val="left"/>
            </w:pPr>
            <w:r>
              <w:t xml:space="preserve">5%</w:t>
            </w:r>
          </w:p>
        </w:tc>
        <w:tc>
          <w:tcPr/>
          <w:p>
            <w:pPr>
              <w:pStyle w:val="Compact"/>
              <w:jc w:val="left"/>
            </w:pPr>
            <w:r>
              <w:t xml:space="preserve">67,800</w:t>
            </w:r>
          </w:p>
        </w:tc>
        <w:tc>
          <w:tcPr/>
          <w:p>
            <w:pPr>
              <w:pStyle w:val="Compact"/>
              <w:jc w:val="left"/>
            </w:pPr>
            <w:r>
              <w:t xml:space="preserve">Completion of as-built documentation</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Kingdom of Morocco, including the Moroccan Civil Code and the specific provisions of the Moroccan Urban Planning Code applicable to the city of Casablanca.</w:t>
      </w:r>
    </w:p>
    <w:p>
      <w:pPr>
        <w:numPr>
          <w:ilvl w:val="0"/>
          <w:numId w:val="1001"/>
        </w:numPr>
        <w:pStyle w:val="Compact"/>
      </w:pPr>
      <w:r>
        <w:rPr>
          <w:bCs/>
          <w:b/>
        </w:rPr>
        <w:t xml:space="preserve">Architect's Obligations:</w:t>
      </w:r>
      <w:r>
        <w:t xml:space="preserve"> </w:t>
      </w:r>
      <w:r>
        <w:t xml:space="preserve">The Architect shall ensure all designs comply with the seismic regulations of Morocco (RPS 2011), the Moroccan fire safety code, and the specific zoning regulations of the Ain Diab district in Casablanca. The Architect shall maintain professional liability insurance with a minimum coverage of 5,000,000 MAD throughout the duration of this Purchase Order.</w:t>
      </w:r>
    </w:p>
    <w:p>
      <w:pPr>
        <w:numPr>
          <w:ilvl w:val="0"/>
          <w:numId w:val="1001"/>
        </w:numPr>
        <w:pStyle w:val="Compact"/>
      </w:pPr>
      <w:r>
        <w:rPr>
          <w:bCs/>
          <w:b/>
        </w:rPr>
        <w:t xml:space="preserve">Intellectual Property:</w:t>
      </w:r>
      <w:r>
        <w:t xml:space="preserve"> </w:t>
      </w:r>
      <w:r>
        <w:t xml:space="preserve">All architectural drawings, models, and design documents produced under this Purchase Order shall become the exclusive property of Atlas Horizon Developments SARL upon full payment. The Architect retains the right to reference the project in professional portfolios subject to prior written consent.</w:t>
      </w:r>
    </w:p>
    <w:p>
      <w:pPr>
        <w:numPr>
          <w:ilvl w:val="0"/>
          <w:numId w:val="1001"/>
        </w:numPr>
        <w:pStyle w:val="Compact"/>
      </w:pPr>
      <w:r>
        <w:rPr>
          <w:bCs/>
          <w:b/>
        </w:rPr>
        <w:t xml:space="preserve">Revisions:</w:t>
      </w:r>
      <w:r>
        <w:t xml:space="preserve"> </w:t>
      </w:r>
      <w:r>
        <w:t xml:space="preserve">The Architect shall include up to three (3) rounds of revisions at each design milestone at no additional cost. Additional revisions beyond this limit shall be billed at 15,000 MAD per day of the Architect's time.</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30 days, the matter shall be referred to the competent commercial court of Casablanca, Morocco.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regulatory changes in Morocco, or civil unrest affecting Casablanca.</w:t>
      </w:r>
    </w:p>
    <w:p>
      <w:pPr>
        <w:numPr>
          <w:ilvl w:val="0"/>
          <w:numId w:val="1001"/>
        </w:numPr>
        <w:pStyle w:val="Compact"/>
      </w:pPr>
      <w:r>
        <w:rPr>
          <w:bCs/>
          <w:b/>
        </w:rPr>
        <w:t xml:space="preserve">Confidentiality:</w:t>
      </w:r>
      <w:r>
        <w:t xml:space="preserve"> </w:t>
      </w:r>
      <w:r>
        <w:t xml:space="preserve">The Architect agrees to maintain strict confidentiality regarding all project details, client information, and proprietary data shared in connection with this Purchase Order for a period of five (5) years following project completion.</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conditions, and scope of work outlined in this Purchase Order for the Architectural Services to be delivered in Morocco Casablanca.</w:t>
      </w:r>
    </w:p>
    <w:p>
      <w:pPr>
        <w:pStyle w:val="BodyText"/>
      </w:pPr>
      <w:r>
        <w:rPr>
          <w:bCs/>
          <w:b/>
        </w:rPr>
        <w:t xml:space="preserve">For Atlas Horizon Developments SARL (Buyer)</w:t>
      </w:r>
    </w:p>
    <w:p>
      <w:pPr>
        <w:pStyle w:val="BodyText"/>
      </w:pPr>
      <w:r>
        <w:t xml:space="preserve">Name: Karim Benjelloun</w:t>
      </w:r>
      <w:r>
        <w:br/>
      </w:r>
      <w:r>
        <w:t xml:space="preserve">Title: Chief Procurement Officer</w:t>
      </w:r>
      <w:r>
        <w:br/>
      </w:r>
      <w:r>
        <w:t xml:space="preserve">Date: _______________</w:t>
      </w:r>
    </w:p>
    <w:p>
      <w:pPr>
        <w:pStyle w:val="BodyText"/>
      </w:pPr>
      <w:r>
        <w:t xml:space="preserve">Signature &amp; Company Stamp</w:t>
      </w:r>
    </w:p>
    <w:p>
      <w:pPr>
        <w:pStyle w:val="BodyText"/>
      </w:pPr>
      <w:r>
        <w:rPr>
          <w:bCs/>
          <w:b/>
        </w:rPr>
        <w:t xml:space="preserve">For Bureau d'Architecture El Fassi &amp; Partners (Architect / Vendor)</w:t>
      </w:r>
    </w:p>
    <w:p>
      <w:pPr>
        <w:pStyle w:val="BodyText"/>
      </w:pPr>
      <w:r>
        <w:t xml:space="preserve">Name: Youssef El Fassi</w:t>
      </w:r>
      <w:r>
        <w:br/>
      </w:r>
      <w:r>
        <w:t xml:space="preserve">Title: Lead Architect, MIAU</w:t>
      </w:r>
      <w:r>
        <w:br/>
      </w:r>
      <w:r>
        <w:t xml:space="preserve">Date: _______________</w:t>
      </w:r>
    </w:p>
    <w:p>
      <w:pPr>
        <w:pStyle w:val="BodyText"/>
      </w:pPr>
      <w:r>
        <w:t xml:space="preserve">Signature &amp; Company Stamp</w:t>
      </w:r>
    </w:p>
    <w:p>
      <w:pPr>
        <w:pStyle w:val="BodyText"/>
      </w:pPr>
      <w:r>
        <w:t xml:space="preserve">This Purchase Order (No. AHD-2025-0047) is valid for a period of thirty (30) calendar days from the date of issue. It is issued in two (2) original copies, one for each party. All communications regarding this Purchase Order shall be directed to the procurement department of Atlas Horizon Developments SARL, Casablanca, Morocco. The Architect is required to confirm acceptance in writing within ten (10) business days of receipt. Failure to confirm within this period shall render this Purchase Order null and void.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Morocco Casablanca</dc:title>
  <dc:creator/>
  <dc:language>en</dc:language>
  <cp:keywords/>
  <dcterms:created xsi:type="dcterms:W3CDTF">2026-10-10T01:55:46Z</dcterms:created>
  <dcterms:modified xsi:type="dcterms:W3CDTF">2026-10-10T01:55:46Z</dcterms:modified>
</cp:coreProperties>
</file>

<file path=docProps/custom.xml><?xml version="1.0" encoding="utf-8"?>
<Properties xmlns="http://schemas.openxmlformats.org/officeDocument/2006/custom-properties" xmlns:vt="http://schemas.openxmlformats.org/officeDocument/2006/docPropsVTypes"/>
</file>