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Myanmar</w:t>
      </w:r>
      <w:r>
        <w:t xml:space="preserve"> </w:t>
      </w:r>
      <w:r>
        <w:t xml:space="preserve">Yangon</w:t>
      </w:r>
    </w:p>
    <w:bookmarkStart w:id="28" w:name="purchase-order"/>
    <w:p>
      <w:pPr>
        <w:pStyle w:val="Heading1"/>
      </w:pPr>
      <w:r>
        <w:t xml:space="preserve">PURCHASE ORDER</w:t>
      </w:r>
    </w:p>
    <w:p>
      <w:pPr>
        <w:pStyle w:val="FirstParagraph"/>
      </w:pPr>
      <w:r>
        <w:t xml:space="preserve">Architectural Design and Consultation Services — Myanmar Yangon</w:t>
      </w:r>
    </w:p>
    <w:p>
      <w:pPr>
        <w:pStyle w:val="BodyText"/>
      </w:pPr>
      <w:r>
        <w:rPr>
          <w:bCs/>
          <w:b/>
        </w:rPr>
        <w:t xml:space="preserve">Purchase Order No.:</w:t>
      </w:r>
      <w:r>
        <w:t xml:space="preserve"> </w:t>
      </w:r>
      <w:r>
        <w:t xml:space="preserve">PO-MY-2025-04782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Origin:</w:t>
      </w:r>
      <w:r>
        <w:t xml:space="preserve"> </w:t>
      </w:r>
      <w:r>
        <w:t xml:space="preserve">Republic of the Union of Myanmar</w:t>
      </w:r>
    </w:p>
    <w:p>
      <w:pPr>
        <w:pStyle w:val="BodyText"/>
      </w:pPr>
      <w:r>
        <w:rPr>
          <w:bCs/>
          <w:b/>
        </w:rPr>
        <w:t xml:space="preserve">Region:</w:t>
      </w:r>
      <w:r>
        <w:t xml:space="preserve"> </w:t>
      </w:r>
      <w:r>
        <w:t xml:space="preserve">Yangon Region, Myanmar Yangon</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Myanmar Kyat (MMK)</w:t>
      </w:r>
    </w:p>
    <w:p>
      <w:pPr>
        <w:pStyle w:val="BodyText"/>
      </w:pPr>
      <w:r>
        <w:rPr>
          <w:bCs/>
          <w:b/>
        </w:rPr>
        <w:t xml:space="preserve">Incoterms:</w:t>
      </w:r>
      <w:r>
        <w:t xml:space="preserve"> </w:t>
      </w:r>
      <w:r>
        <w:t xml:space="preserve">N/A (Local Services)</w:t>
      </w:r>
    </w:p>
    <w:p>
      <w:pPr>
        <w:pStyle w:val="BodyText"/>
      </w:pPr>
      <w:r>
        <w:rPr>
          <w:bCs/>
          <w:b/>
        </w:rPr>
        <w:t xml:space="preserve">Priority:</w:t>
      </w:r>
      <w:r>
        <w:t xml:space="preserve"> </w:t>
      </w:r>
      <w:r>
        <w:t xml:space="preserve">Standard</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(Client)</w:t>
            </w:r>
          </w:p>
        </w:tc>
        <w:tc>
          <w:tcPr/>
          <w:p>
            <w:pPr>
              <w:pStyle w:val="Compact"/>
              <w:jc w:val="left"/>
            </w:pPr>
            <w:r>
              <w:t xml:space="preserve">Golden Pagoda Development Co., Ltd.</w:t>
            </w:r>
          </w:p>
        </w:tc>
        <w:tc>
          <w:tcPr/>
          <w:p>
            <w:pPr>
              <w:pStyle w:val="Compact"/>
              <w:jc w:val="left"/>
            </w:pPr>
            <w:r>
              <w:t xml:space="preserve">No. 42, 27th Street, Kamayut Township, Myanmar Yangon, Yangon Region, Myanmar</w:t>
            </w:r>
          </w:p>
        </w:tc>
        <w:tc>
          <w:tcPr/>
          <w:p>
            <w:pPr>
              <w:pStyle w:val="Compact"/>
              <w:jc w:val="left"/>
            </w:pPr>
            <w:r>
              <w:t xml:space="preserve">procurement@goldenpagoda-dev.mm</w:t>
            </w:r>
            <w:r>
              <w:br/>
            </w:r>
            <w:r>
              <w:t xml:space="preserve">+95-9-791-234-567</w:t>
            </w:r>
          </w:p>
        </w:tc>
      </w:tr>
      <w:tr>
        <w:tc>
          <w:tcPr/>
          <w:p>
            <w:pPr>
              <w:pStyle w:val="Compact"/>
              <w:jc w:val="left"/>
            </w:pPr>
            <w:r>
              <w:rPr>
                <w:bCs/>
                <w:b/>
              </w:rPr>
              <w:t xml:space="preserve">Supplier (Architect)</w:t>
            </w:r>
          </w:p>
        </w:tc>
        <w:tc>
          <w:tcPr/>
          <w:p>
            <w:pPr>
              <w:pStyle w:val="Compact"/>
              <w:jc w:val="left"/>
            </w:pPr>
            <w:r>
              <w:t xml:space="preserve">Thura Aung Kyaw Architectural Studio</w:t>
            </w:r>
          </w:p>
        </w:tc>
        <w:tc>
          <w:tcPr/>
          <w:p>
            <w:pPr>
              <w:pStyle w:val="Compact"/>
              <w:jc w:val="left"/>
            </w:pPr>
            <w:r>
              <w:t xml:space="preserve">No. 18, Bo Yangon Road, Insein Township, Myanmar Yangon, Yangon Region, Myanmar</w:t>
            </w:r>
          </w:p>
        </w:tc>
        <w:tc>
          <w:tcPr/>
          <w:p>
            <w:pPr>
              <w:pStyle w:val="Compact"/>
              <w:jc w:val="left"/>
            </w:pPr>
            <w:r>
              <w:t xml:space="preserve">info@thuraarchitect.mm</w:t>
            </w:r>
            <w:r>
              <w:br/>
            </w:r>
            <w:r>
              <w:t xml:space="preserve">+95-9-456-789-012</w:t>
            </w:r>
          </w:p>
        </w:tc>
      </w:tr>
    </w:tbl>
    <w:bookmarkEnd w:id="20"/>
    <w:bookmarkStart w:id="21" w:name="Xcbe46c9c2d45f6da966429e85a45c40a15889d5"/>
    <w:p>
      <w:pPr>
        <w:pStyle w:val="Heading2"/>
      </w:pPr>
      <w:r>
        <w:t xml:space="preserve">2. DESCRIPTION OF SERVICES — ARCHITECT ENGAGEMENT</w:t>
      </w:r>
    </w:p>
    <w:p>
      <w:pPr>
        <w:pStyle w:val="FirstParagraph"/>
      </w:pPr>
      <w:r>
        <w:t xml:space="preserve">This Purchase Order is issued by Golden Pagoda Development Co., Ltd. (hereinafter referred to as the "Buyer") to formally engage Thura Aung Kyaw Architectural Studio (hereinafter referred to as the "Architect" or "Supplier") for the provision of comprehensive architectural design, planning, and consultation services for a mixed-use commercial and residential development project located in Myanmar Yangon. The Architect shall be responsible for all phases of architectural design as outlined in this Purchase Order, ensuring full compliance with the Myanmar Building Code, the Yangon City Development Committee (YCDC) regulations, and all applicable national and local building standards in force within Myanmar Yangon.</w:t>
      </w:r>
    </w:p>
    <w:p>
      <w:pPr>
        <w:pStyle w:val="BodyText"/>
      </w:pPr>
      <w:r>
        <w:t xml:space="preserve">The Architect shall deliver a complete set of architectural drawings, structural coordination documents, interior design concepts, landscape architecture plans, and all supporting technical documentation required for the construction of the project. The Architect is expected to maintain professional registration with the Myanmar Institute of Architects and shall ensure that all work products meet the standards of practice established for licensed Architect professionals operating in Myanmar Yangon.</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Feasibility Study and Site Analysis for the Myanmar Yangon development plot (2,400 sqm)</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Concept Design and Architectural Schematic Drawings (including 3D renderings)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Detailed Architectural Design and Construction Drawings (floor plans, elevations, sections, details)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04</w:t>
            </w:r>
          </w:p>
        </w:tc>
        <w:tc>
          <w:tcPr/>
          <w:p>
            <w:pPr>
              <w:pStyle w:val="Compact"/>
              <w:jc w:val="left"/>
            </w:pPr>
            <w:r>
              <w:t xml:space="preserve">Interior Architecture and Fit-Out Design for 12 residential units and 3 commercial spaces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15,500,000</w:t>
            </w:r>
          </w:p>
        </w:tc>
        <w:tc>
          <w:tcPr/>
          <w:p>
            <w:pPr>
              <w:pStyle w:val="Compact"/>
              <w:jc w:val="left"/>
            </w:pPr>
            <w:r>
              <w:t xml:space="preserve">15,500,000</w:t>
            </w:r>
          </w:p>
        </w:tc>
      </w:tr>
      <w:tr>
        <w:tc>
          <w:tcPr/>
          <w:p>
            <w:pPr>
              <w:pStyle w:val="Compact"/>
              <w:jc w:val="left"/>
            </w:pPr>
            <w:r>
              <w:t xml:space="preserve">05</w:t>
            </w:r>
          </w:p>
        </w:tc>
        <w:tc>
          <w:tcPr/>
          <w:p>
            <w:pPr>
              <w:pStyle w:val="Compact"/>
              <w:jc w:val="left"/>
            </w:pPr>
            <w:r>
              <w:t xml:space="preserve">Landscape Architecture and External Works Design for Myanmar Yangon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06</w:t>
            </w:r>
          </w:p>
        </w:tc>
        <w:tc>
          <w:tcPr/>
          <w:p>
            <w:pPr>
              <w:pStyle w:val="Compact"/>
              <w:jc w:val="left"/>
            </w:pPr>
            <w:r>
              <w:t xml:space="preserve">Building Permit Application Support and YCDC Submission Coordination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Construction Phase Architectural Supervision and Site Visits (minimum 24 visits)</w:t>
            </w:r>
          </w:p>
        </w:tc>
        <w:tc>
          <w:tcPr/>
          <w:p>
            <w:pPr>
              <w:pStyle w:val="Compact"/>
              <w:jc w:val="left"/>
            </w:pPr>
            <w:r>
              <w:t xml:space="preserve">24</w:t>
            </w:r>
          </w:p>
        </w:tc>
        <w:tc>
          <w:tcPr/>
          <w:p>
            <w:pPr>
              <w:pStyle w:val="Compact"/>
              <w:jc w:val="left"/>
            </w:pPr>
            <w:r>
              <w:t xml:space="preserve">Visits</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08</w:t>
            </w:r>
          </w:p>
        </w:tc>
        <w:tc>
          <w:tcPr/>
          <w:p>
            <w:pPr>
              <w:pStyle w:val="Compact"/>
              <w:jc w:val="left"/>
            </w:pPr>
            <w:r>
              <w:t xml:space="preserve">As-Built Documentation and Final Handover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4,000,000</w:t>
            </w:r>
          </w:p>
        </w:tc>
        <w:tc>
          <w:tcPr/>
          <w:p>
            <w:pPr>
              <w:pStyle w:val="Compact"/>
              <w:jc w:val="left"/>
            </w:pPr>
            <w:r>
              <w:t xml:space="preserve">4,000,000</w:t>
            </w:r>
          </w:p>
        </w:tc>
      </w:tr>
      <w:tr>
        <w:tc>
          <w:tcPr>
            <w:gridSpan w:val="5"/>
          </w:tcPr>
          <w:p>
            <w:pPr>
              <w:pStyle w:val="Compact"/>
              <w:jc w:val="left"/>
            </w:pPr>
            <w:r>
              <w:rPr>
                <w:bCs/>
                <w:b/>
              </w:rPr>
              <w:t xml:space="preserve">TOTAL PURCHASE ORDER VALUE</w:t>
            </w:r>
          </w:p>
        </w:tc>
        <w:tc>
          <w:tcPr/>
          <w:p>
            <w:pPr>
              <w:pStyle w:val="Compact"/>
              <w:jc w:val="left"/>
            </w:pPr>
            <w:r>
              <w:rPr>
                <w:bCs/>
                <w:b/>
              </w:rPr>
              <w:t xml:space="preserve">84,800,000 MMK</w:t>
            </w:r>
          </w:p>
        </w:tc>
      </w:tr>
    </w:tbl>
    <w:bookmarkEnd w:id="22"/>
    <w:bookmarkStart w:id="23" w:name="project-location-and-site-details"/>
    <w:p>
      <w:pPr>
        <w:pStyle w:val="Heading2"/>
      </w:pPr>
      <w:r>
        <w:t xml:space="preserve">4. PROJECT LOCATION AND SITE DETAILS</w:t>
      </w:r>
    </w:p>
    <w:p>
      <w:pPr>
        <w:pStyle w:val="FirstParagraph"/>
      </w:pPr>
      <w:r>
        <w:t xml:space="preserve">The project site for which the Architect is engaged under this Purchase Order is situated at Plot No. 77, Kamayut Township, Myanmar Yangon, Yangon Region, Republic of the Union of Myanmar. The site area is approximately 2,400 square metres with a frontage of 40 metres along a classified township road. The Architect shall conduct a minimum of two (2) on-site surveys during the design phase and shall coordinate with local Myanmar Yangon municipal authorities regarding zoning, setback requirements, and environmental impact considerations specific to the Yangon Region.</w:t>
      </w:r>
    </w:p>
    <w:bookmarkEnd w:id="23"/>
    <w:bookmarkStart w:id="24"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(MMK)</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16,960,000</w:t>
            </w:r>
          </w:p>
        </w:tc>
        <w:tc>
          <w:tcPr/>
          <w:p>
            <w:pPr>
              <w:pStyle w:val="Compact"/>
              <w:jc w:val="left"/>
            </w:pPr>
            <w:r>
              <w:t xml:space="preserve">Upon signing of this Purchase Order</w:t>
            </w:r>
          </w:p>
        </w:tc>
      </w:tr>
      <w:tr>
        <w:tc>
          <w:tcPr/>
          <w:p>
            <w:pPr>
              <w:pStyle w:val="Compact"/>
              <w:jc w:val="left"/>
            </w:pPr>
            <w:r>
              <w:t xml:space="preserve">Concept Design Approval</w:t>
            </w:r>
          </w:p>
        </w:tc>
        <w:tc>
          <w:tcPr/>
          <w:p>
            <w:pPr>
              <w:pStyle w:val="Compact"/>
              <w:jc w:val="left"/>
            </w:pPr>
            <w:r>
              <w:t xml:space="preserve">20%</w:t>
            </w:r>
          </w:p>
        </w:tc>
        <w:tc>
          <w:tcPr/>
          <w:p>
            <w:pPr>
              <w:pStyle w:val="Compact"/>
              <w:jc w:val="left"/>
            </w:pPr>
            <w:r>
              <w:t xml:space="preserve">16,960,000</w:t>
            </w:r>
          </w:p>
        </w:tc>
        <w:tc>
          <w:tcPr/>
          <w:p>
            <w:pPr>
              <w:pStyle w:val="Compact"/>
              <w:jc w:val="left"/>
            </w:pPr>
            <w:r>
              <w:t xml:space="preserve">Buyer written approval of schematic drawings</w:t>
            </w:r>
          </w:p>
        </w:tc>
      </w:tr>
      <w:tr>
        <w:tc>
          <w:tcPr/>
          <w:p>
            <w:pPr>
              <w:pStyle w:val="Compact"/>
              <w:jc w:val="left"/>
            </w:pPr>
            <w:r>
              <w:t xml:space="preserve">Detailed Design &amp; Permit Submission</w:t>
            </w:r>
          </w:p>
        </w:tc>
        <w:tc>
          <w:tcPr/>
          <w:p>
            <w:pPr>
              <w:pStyle w:val="Compact"/>
              <w:jc w:val="left"/>
            </w:pPr>
            <w:r>
              <w:t xml:space="preserve">30%</w:t>
            </w:r>
          </w:p>
        </w:tc>
        <w:tc>
          <w:tcPr/>
          <w:p>
            <w:pPr>
              <w:pStyle w:val="Compact"/>
              <w:jc w:val="left"/>
            </w:pPr>
            <w:r>
              <w:t xml:space="preserve">25,440,000</w:t>
            </w:r>
          </w:p>
        </w:tc>
        <w:tc>
          <w:tcPr/>
          <w:p>
            <w:pPr>
              <w:pStyle w:val="Compact"/>
              <w:jc w:val="left"/>
            </w:pPr>
            <w:r>
              <w:t xml:space="preserve">Submission of full construction drawings to YCDC</w:t>
            </w:r>
          </w:p>
        </w:tc>
      </w:tr>
      <w:tr>
        <w:tc>
          <w:tcPr/>
          <w:p>
            <w:pPr>
              <w:pStyle w:val="Compact"/>
              <w:jc w:val="left"/>
            </w:pPr>
            <w:r>
              <w:t xml:space="preserve">Construction Supervision (Progress)</w:t>
            </w:r>
          </w:p>
        </w:tc>
        <w:tc>
          <w:tcPr/>
          <w:p>
            <w:pPr>
              <w:pStyle w:val="Compact"/>
              <w:jc w:val="left"/>
            </w:pPr>
            <w:r>
              <w:t xml:space="preserve">20%</w:t>
            </w:r>
          </w:p>
        </w:tc>
        <w:tc>
          <w:tcPr/>
          <w:p>
            <w:pPr>
              <w:pStyle w:val="Compact"/>
              <w:jc w:val="left"/>
            </w:pPr>
            <w:r>
              <w:t xml:space="preserve">16,960,000</w:t>
            </w:r>
          </w:p>
        </w:tc>
        <w:tc>
          <w:tcPr/>
          <w:p>
            <w:pPr>
              <w:pStyle w:val="Compact"/>
              <w:jc w:val="left"/>
            </w:pPr>
            <w:r>
              <w:t xml:space="preserve">Monthly progress reports during construction</w:t>
            </w:r>
          </w:p>
        </w:tc>
      </w:tr>
      <w:tr>
        <w:tc>
          <w:tcPr/>
          <w:p>
            <w:pPr>
              <w:pStyle w:val="Compact"/>
              <w:jc w:val="left"/>
            </w:pPr>
            <w:r>
              <w:t xml:space="preserve">Final Handover</w:t>
            </w:r>
          </w:p>
        </w:tc>
        <w:tc>
          <w:tcPr/>
          <w:p>
            <w:pPr>
              <w:pStyle w:val="Compact"/>
              <w:jc w:val="left"/>
            </w:pPr>
            <w:r>
              <w:t xml:space="preserve">10%</w:t>
            </w:r>
          </w:p>
        </w:tc>
        <w:tc>
          <w:tcPr/>
          <w:p>
            <w:pPr>
              <w:pStyle w:val="Compact"/>
              <w:jc w:val="left"/>
            </w:pPr>
            <w:r>
              <w:t xml:space="preserve">8,480,000</w:t>
            </w:r>
          </w:p>
        </w:tc>
        <w:tc>
          <w:tcPr/>
          <w:p>
            <w:pPr>
              <w:pStyle w:val="Compact"/>
              <w:jc w:val="left"/>
            </w:pPr>
            <w:r>
              <w:t xml:space="preserve">Delivery of as-built documents and project completion</w:t>
            </w:r>
          </w:p>
        </w:tc>
      </w:tr>
    </w:tbl>
    <w:bookmarkEnd w:id="24"/>
    <w:bookmarkStart w:id="25"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the Buyer and the Architect upon execution by both parties. All services described herein shall be performed in accordance with the professional standards of the Myanmar Institute of Architects and the regulatory framework governing Architect practice in Myanmar Yangon.</w:t>
      </w:r>
    </w:p>
    <w:p>
      <w:pPr>
        <w:pStyle w:val="BodyText"/>
      </w:pPr>
      <w:r>
        <w:rPr>
          <w:bCs/>
          <w:b/>
        </w:rPr>
        <w:t xml:space="preserve">6.2</w:t>
      </w:r>
      <w:r>
        <w:t xml:space="preserve"> </w:t>
      </w:r>
      <w:r>
        <w:t xml:space="preserve">The Architect warrants that all design documents, drawings, and specifications delivered under this Purchase Order shall be original work, free from intellectual property infringement, and shall comply with all applicable Myanmar national building codes, fire safety regulations, and environmental standards in force in Myanmar Yangon at the time of delivery.</w:t>
      </w:r>
    </w:p>
    <w:p>
      <w:pPr>
        <w:pStyle w:val="BodyText"/>
      </w:pPr>
      <w:r>
        <w:rPr>
          <w:bCs/>
          <w:b/>
        </w:rPr>
        <w:t xml:space="preserve">6.3</w:t>
      </w:r>
      <w:r>
        <w:t xml:space="preserve"> </w:t>
      </w:r>
      <w:r>
        <w:t xml:space="preserve">The Architect shall provide a minimum of two (2) design revision cycles at no additional cost. Any revisions requested by the Buyer beyond the agreed cycles shall be subject to a separate written amendment to this Purchase Order.</w:t>
      </w:r>
    </w:p>
    <w:p>
      <w:pPr>
        <w:pStyle w:val="BodyText"/>
      </w:pPr>
      <w:r>
        <w:rPr>
          <w:bCs/>
          <w:b/>
        </w:rPr>
        <w:t xml:space="preserve">6.4</w:t>
      </w:r>
      <w:r>
        <w:t xml:space="preserve"> </w:t>
      </w:r>
      <w:r>
        <w:t xml:space="preserve">The Architect shall maintain professional indemnity insurance with a minimum coverage of 50,000,000 MMK for the duration of the project. Proof of insurance shall be provided to the Buyer prior to commencement of work.</w:t>
      </w:r>
    </w:p>
    <w:p>
      <w:pPr>
        <w:pStyle w:val="BodyText"/>
      </w:pPr>
      <w:r>
        <w:rPr>
          <w:bCs/>
          <w:b/>
        </w:rPr>
        <w:t xml:space="preserve">6.5</w:t>
      </w:r>
      <w:r>
        <w:t xml:space="preserve"> </w:t>
      </w:r>
      <w:r>
        <w:t xml:space="preserve">All communications, submissions, and approvals related to this Purchase Order shall be conducted in writing. The primary language of all project documentation shall be English, with supplementary Burmese translations provided for all regulatory submissions to Myanmar Yangon authorities.</w:t>
      </w:r>
    </w:p>
    <w:p>
      <w:pPr>
        <w:pStyle w:val="BodyText"/>
      </w:pPr>
      <w:r>
        <w:rPr>
          <w:bCs/>
          <w:b/>
        </w:rPr>
        <w:t xml:space="preserve">6.6</w:t>
      </w:r>
      <w:r>
        <w:t xml:space="preserve"> </w:t>
      </w:r>
      <w:r>
        <w:t xml:space="preserve">In the event of a dispute arising from this Purchase Order, both parties agree to first attempt resolution through mediation in Myanmar Yangon. Should mediation fail, the dispute shall be referred to the competent courts of Myanmar Yangon, Yangon Region.</w:t>
      </w:r>
    </w:p>
    <w:p>
      <w:pPr>
        <w:pStyle w:val="BodyText"/>
      </w:pPr>
      <w:r>
        <w:rPr>
          <w:bCs/>
          <w:b/>
        </w:rPr>
        <w:t xml:space="preserve">6.7</w:t>
      </w:r>
      <w:r>
        <w:t xml:space="preserve"> </w:t>
      </w:r>
      <w:r>
        <w:t xml:space="preserve">The Architect shall not subcontract any portion of the architectural design work without prior written consent from the Buyer. Any approved subcontracting shall not relieve the Architect of its obligations under this Purchase Order.</w:t>
      </w:r>
    </w:p>
    <w:bookmarkEnd w:id="25"/>
    <w:bookmarkStart w:id="26" w:name="project-timeline"/>
    <w:p>
      <w:pPr>
        <w:pStyle w:val="Heading2"/>
      </w:pPr>
      <w:r>
        <w:t xml:space="preserve">7.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Completion Date</w:t>
            </w:r>
          </w:p>
        </w:tc>
        <w:tc>
          <w:tcPr/>
          <w:p>
            <w:pPr>
              <w:pStyle w:val="Compact"/>
              <w:jc w:val="left"/>
            </w:pPr>
            <w:r>
              <w:t xml:space="preserve">Duration</w:t>
            </w:r>
          </w:p>
        </w:tc>
      </w:tr>
      <w:tr>
        <w:tc>
          <w:tcPr/>
          <w:p>
            <w:pPr>
              <w:pStyle w:val="Compact"/>
              <w:jc w:val="left"/>
            </w:pPr>
            <w:r>
              <w:t xml:space="preserve">Feasibility &amp; Site Analysis</w:t>
            </w:r>
          </w:p>
        </w:tc>
        <w:tc>
          <w:tcPr/>
          <w:p>
            <w:pPr>
              <w:pStyle w:val="Compact"/>
              <w:jc w:val="left"/>
            </w:pPr>
            <w:r>
              <w:t xml:space="preserve">20 June 2025</w:t>
            </w:r>
          </w:p>
        </w:tc>
        <w:tc>
          <w:tcPr/>
          <w:p>
            <w:pPr>
              <w:pStyle w:val="Compact"/>
              <w:jc w:val="left"/>
            </w:pPr>
            <w:r>
              <w:t xml:space="preserve">15 July 2025</w:t>
            </w:r>
          </w:p>
        </w:tc>
        <w:tc>
          <w:tcPr/>
          <w:p>
            <w:pPr>
              <w:pStyle w:val="Compact"/>
              <w:jc w:val="left"/>
            </w:pPr>
            <w:r>
              <w:t xml:space="preserve">4 weeks</w:t>
            </w:r>
          </w:p>
        </w:tc>
      </w:tr>
      <w:tr>
        <w:tc>
          <w:tcPr/>
          <w:p>
            <w:pPr>
              <w:pStyle w:val="Compact"/>
              <w:jc w:val="left"/>
            </w:pPr>
            <w:r>
              <w:t xml:space="preserve">Concept Design</w:t>
            </w:r>
          </w:p>
        </w:tc>
        <w:tc>
          <w:tcPr/>
          <w:p>
            <w:pPr>
              <w:pStyle w:val="Compact"/>
              <w:jc w:val="left"/>
            </w:pPr>
            <w:r>
              <w:t xml:space="preserve">16 July 2025</w:t>
            </w:r>
          </w:p>
        </w:tc>
        <w:tc>
          <w:tcPr/>
          <w:p>
            <w:pPr>
              <w:pStyle w:val="Compact"/>
              <w:jc w:val="left"/>
            </w:pPr>
            <w:r>
              <w:t xml:space="preserve">30 August 2025</w:t>
            </w:r>
          </w:p>
        </w:tc>
        <w:tc>
          <w:tcPr/>
          <w:p>
            <w:pPr>
              <w:pStyle w:val="Compact"/>
              <w:jc w:val="left"/>
            </w:pPr>
            <w:r>
              <w:t xml:space="preserve">6 weeks</w:t>
            </w:r>
          </w:p>
        </w:tc>
      </w:tr>
      <w:tr>
        <w:tc>
          <w:tcPr/>
          <w:p>
            <w:pPr>
              <w:pStyle w:val="Compact"/>
              <w:jc w:val="left"/>
            </w:pPr>
            <w:r>
              <w:t xml:space="preserve">Detailed Design &amp; Permit</w:t>
            </w:r>
          </w:p>
        </w:tc>
        <w:tc>
          <w:tcPr/>
          <w:p>
            <w:pPr>
              <w:pStyle w:val="Compact"/>
              <w:jc w:val="left"/>
            </w:pPr>
            <w:r>
              <w:t xml:space="preserve">1 September 2025</w:t>
            </w:r>
          </w:p>
        </w:tc>
        <w:tc>
          <w:tcPr/>
          <w:p>
            <w:pPr>
              <w:pStyle w:val="Compact"/>
              <w:jc w:val="left"/>
            </w:pPr>
            <w:r>
              <w:t xml:space="preserve">30 November 2025</w:t>
            </w:r>
          </w:p>
        </w:tc>
        <w:tc>
          <w:tcPr/>
          <w:p>
            <w:pPr>
              <w:pStyle w:val="Compact"/>
              <w:jc w:val="left"/>
            </w:pPr>
            <w:r>
              <w:t xml:space="preserve">12 weeks</w:t>
            </w:r>
          </w:p>
        </w:tc>
      </w:tr>
      <w:tr>
        <w:tc>
          <w:tcPr/>
          <w:p>
            <w:pPr>
              <w:pStyle w:val="Compact"/>
              <w:jc w:val="left"/>
            </w:pPr>
            <w:r>
              <w:t xml:space="preserve">Construction Supervision</w:t>
            </w:r>
          </w:p>
        </w:tc>
        <w:tc>
          <w:tcPr/>
          <w:p>
            <w:pPr>
              <w:pStyle w:val="Compact"/>
              <w:jc w:val="left"/>
            </w:pPr>
            <w:r>
              <w:t xml:space="preserve">1 December 2025</w:t>
            </w:r>
          </w:p>
        </w:tc>
        <w:tc>
          <w:tcPr/>
          <w:p>
            <w:pPr>
              <w:pStyle w:val="Compact"/>
              <w:jc w:val="left"/>
            </w:pPr>
            <w:r>
              <w:t xml:space="preserve">30 November 2026</w:t>
            </w:r>
          </w:p>
        </w:tc>
        <w:tc>
          <w:tcPr/>
          <w:p>
            <w:pPr>
              <w:pStyle w:val="Compact"/>
              <w:jc w:val="left"/>
            </w:pPr>
            <w:r>
              <w:t xml:space="preserve">12 months</w:t>
            </w:r>
          </w:p>
        </w:tc>
      </w:tr>
      <w:tr>
        <w:tc>
          <w:tcPr/>
          <w:p>
            <w:pPr>
              <w:pStyle w:val="Compact"/>
              <w:jc w:val="left"/>
            </w:pPr>
            <w:r>
              <w:t xml:space="preserve">As-Built &amp; Handover</w:t>
            </w:r>
          </w:p>
        </w:tc>
        <w:tc>
          <w:tcPr/>
          <w:p>
            <w:pPr>
              <w:pStyle w:val="Compact"/>
              <w:jc w:val="left"/>
            </w:pPr>
            <w:r>
              <w:t xml:space="preserve">1 December 2026</w:t>
            </w:r>
          </w:p>
        </w:tc>
        <w:tc>
          <w:tcPr/>
          <w:p>
            <w:pPr>
              <w:pStyle w:val="Compact"/>
              <w:jc w:val="left"/>
            </w:pPr>
            <w:r>
              <w:t xml:space="preserve">31 December 2026</w:t>
            </w:r>
          </w:p>
        </w:tc>
        <w:tc>
          <w:tcPr/>
          <w:p>
            <w:pPr>
              <w:pStyle w:val="Compact"/>
              <w:jc w:val="left"/>
            </w:pPr>
            <w:r>
              <w:t xml:space="preserve">4 weeks</w:t>
            </w:r>
          </w:p>
        </w:tc>
      </w:tr>
    </w:tbl>
    <w:bookmarkEnd w:id="26"/>
    <w:bookmarkStart w:id="27" w:name="authorized-signatories"/>
    <w:p>
      <w:pPr>
        <w:pStyle w:val="Heading2"/>
      </w:pPr>
      <w:r>
        <w:t xml:space="preserve">8. AUTHORIZED SIGNATORIES</w:t>
      </w:r>
    </w:p>
    <w:p>
      <w:pPr>
        <w:pStyle w:val="FirstParagraph"/>
      </w:pPr>
      <w:r>
        <w:rPr>
          <w:bCs/>
          <w:b/>
        </w:rPr>
        <w:t xml:space="preserve">For and on behalf of the Buyer:</w:t>
      </w:r>
    </w:p>
    <w:p>
      <w:pPr>
        <w:pStyle w:val="BodyText"/>
      </w:pPr>
      <w:r>
        <w:t xml:space="preserve">Golden Pagoda Development Co., Ltd.</w:t>
      </w:r>
    </w:p>
    <w:p>
      <w:pPr>
        <w:pStyle w:val="BodyText"/>
      </w:pPr>
      <w:r>
        <w:br/>
      </w:r>
      <w:r>
        <w:br/>
      </w:r>
    </w:p>
    <w:p>
      <w:pPr>
        <w:pStyle w:val="BodyText"/>
      </w:pPr>
      <w:r>
        <w:t xml:space="preserve">Signature: ___________________________</w:t>
      </w:r>
    </w:p>
    <w:p>
      <w:pPr>
        <w:pStyle w:val="BodyText"/>
      </w:pPr>
      <w:r>
        <w:t xml:space="preserve">Name: U Min Thu Aung</w:t>
      </w:r>
    </w:p>
    <w:p>
      <w:pPr>
        <w:pStyle w:val="BodyText"/>
      </w:pPr>
      <w:r>
        <w:t xml:space="preserve">Title: Director of Procurement</w:t>
      </w:r>
    </w:p>
    <w:p>
      <w:pPr>
        <w:pStyle w:val="BodyText"/>
      </w:pPr>
      <w:r>
        <w:t xml:space="preserve">Date: ___________________________</w:t>
      </w:r>
    </w:p>
    <w:p>
      <w:pPr>
        <w:pStyle w:val="BodyText"/>
      </w:pPr>
      <w:r>
        <w:rPr>
          <w:bCs/>
          <w:b/>
        </w:rPr>
        <w:t xml:space="preserve">For and on behalf of the Architect (Supplier):</w:t>
      </w:r>
    </w:p>
    <w:p>
      <w:pPr>
        <w:pStyle w:val="BodyText"/>
      </w:pPr>
      <w:r>
        <w:t xml:space="preserve">Thura Aung Kyaw Architectural Studio</w:t>
      </w:r>
    </w:p>
    <w:p>
      <w:pPr>
        <w:pStyle w:val="BodyText"/>
      </w:pPr>
      <w:r>
        <w:br/>
      </w:r>
      <w:r>
        <w:br/>
      </w:r>
    </w:p>
    <w:p>
      <w:pPr>
        <w:pStyle w:val="BodyText"/>
      </w:pPr>
      <w:r>
        <w:t xml:space="preserve">Signature: ___________________________</w:t>
      </w:r>
    </w:p>
    <w:p>
      <w:pPr>
        <w:pStyle w:val="BodyText"/>
      </w:pPr>
      <w:r>
        <w:t xml:space="preserve">Name: Thura Aung Kyaw</w:t>
      </w:r>
    </w:p>
    <w:p>
      <w:pPr>
        <w:pStyle w:val="BodyText"/>
      </w:pPr>
      <w:r>
        <w:t xml:space="preserve">Title: Principal Architect, MIA Reg. No. 2019-0347</w:t>
      </w:r>
    </w:p>
    <w:p>
      <w:pPr>
        <w:pStyle w:val="BodyText"/>
      </w:pPr>
      <w:r>
        <w:t xml:space="preserve">Date: ___________________________</w:t>
      </w:r>
    </w:p>
    <w:p>
      <w:pPr>
        <w:pStyle w:val="BodyText"/>
      </w:pPr>
      <w:r>
        <w:t xml:space="preserve">This Purchase Order is issued in duplicate. One copy is retained by the Buyer and one copy is issued to the Architect. This document is valid only for the project located in Myanmar Yangon as described herein. PO-MY-2025-04782 — 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Myanmar Yangon</dc:title>
  <dc:creator/>
  <dc:language>en</dc:language>
  <cp:keywords/>
  <dcterms:created xsi:type="dcterms:W3CDTF">2026-10-10T05:09:00Z</dcterms:created>
  <dcterms:modified xsi:type="dcterms:W3CDTF">2026-10-10T05:09:00Z</dcterms:modified>
</cp:coreProperties>
</file>

<file path=docProps/custom.xml><?xml version="1.0" encoding="utf-8"?>
<Properties xmlns="http://schemas.openxmlformats.org/officeDocument/2006/custom-properties" xmlns:vt="http://schemas.openxmlformats.org/officeDocument/2006/docPropsVTypes"/>
</file>