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Van der Berg &amp; Partners B.V.</w:t>
      </w:r>
    </w:p>
    <w:p>
      <w:pPr>
        <w:pStyle w:val="BodyText"/>
      </w:pPr>
      <w:r>
        <w:t xml:space="preserve">Herengracht 420, 1017 CA Amsterdam, Netherlands</w:t>
      </w:r>
    </w:p>
    <w:p>
      <w:pPr>
        <w:pStyle w:val="BodyText"/>
      </w:pPr>
      <w:r>
        <w:t xml:space="preserve">KvK: 34567890 | BTW: NL854321987B01</w:t>
      </w:r>
    </w:p>
    <w:p>
      <w:pPr>
        <w:pStyle w:val="BodyText"/>
      </w:pPr>
      <w:r>
        <w:t xml:space="preserve">Tel: +31 (0)20 555 0142 | Email: procurement@vandberghpartners.nl</w:t>
      </w:r>
    </w:p>
    <w:bookmarkEnd w:id="20"/>
    <w:p>
      <w:pPr>
        <w:pStyle w:val="BodyText"/>
      </w:pPr>
      <w:r>
        <w:rPr>
          <w:bCs/>
          <w:b/>
        </w:rPr>
        <w:t xml:space="preserve">Purchase Order No.:</w:t>
      </w:r>
      <w:r>
        <w:t xml:space="preserve"> </w:t>
      </w:r>
      <w:r>
        <w:t xml:space="preserve">PO-2025-AM-0047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AM-RES-2025-011</w:t>
      </w:r>
      <w:r>
        <w:br/>
      </w:r>
      <w:r>
        <w:rPr>
          <w:bCs/>
          <w:b/>
        </w:rPr>
        <w:t xml:space="preserve">Payment Terms:</w:t>
      </w:r>
      <w:r>
        <w:t xml:space="preserve"> </w:t>
      </w:r>
      <w:r>
        <w:t xml:space="preserve">Net 30 days</w:t>
      </w:r>
      <w:r>
        <w:br/>
      </w:r>
      <w:r>
        <w:rPr>
          <w:bCs/>
          <w:b/>
        </w:rPr>
        <w:t xml:space="preserve">Delivery Location:</w:t>
      </w:r>
      <w:r>
        <w:t xml:space="preserve"> </w:t>
      </w:r>
      <w:r>
        <w:t xml:space="preserve">Netherlands Amsterdam</w:t>
      </w:r>
    </w:p>
    <w:p>
      <w:pPr>
        <w:pStyle w:val="BodyText"/>
      </w:pPr>
      <w:r>
        <w:t xml:space="preserve">ARCHITECT SERVICES</w:t>
      </w:r>
      <w:r>
        <w:br/>
      </w:r>
      <w:r>
        <w:rPr>
          <w:bCs/>
          <w:b/>
        </w:rPr>
        <w:t xml:space="preserve">Status:</w:t>
      </w:r>
      <w:r>
        <w:t xml:space="preserve"> </w:t>
      </w:r>
      <w:r>
        <w:t xml:space="preserve">Pending Approval</w:t>
      </w:r>
    </w:p>
    <w:bookmarkStart w:id="21" w:name="vendor-architect-details"/>
    <w:p>
      <w:pPr>
        <w:pStyle w:val="Heading2"/>
      </w:pPr>
      <w:r>
        <w:t xml:space="preserve">1. Vendor / Architect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 Name</w:t>
            </w:r>
          </w:p>
        </w:tc>
        <w:tc>
          <w:tcPr/>
          <w:p>
            <w:pPr>
              <w:pStyle w:val="Compact"/>
              <w:jc w:val="left"/>
            </w:pPr>
            <w:r>
              <w:t xml:space="preserve">Studio Meridian Architecten B.V.</w:t>
            </w:r>
          </w:p>
        </w:tc>
      </w:tr>
      <w:tr>
        <w:tc>
          <w:tcPr/>
          <w:p>
            <w:pPr>
              <w:pStyle w:val="Compact"/>
              <w:jc w:val="left"/>
            </w:pPr>
            <w:r>
              <w:t xml:space="preserve">Lead Architect</w:t>
            </w:r>
          </w:p>
        </w:tc>
        <w:tc>
          <w:tcPr/>
          <w:p>
            <w:pPr>
              <w:pStyle w:val="Compact"/>
              <w:jc w:val="left"/>
            </w:pPr>
            <w:r>
              <w:t xml:space="preserve">Ir. Dr. Jeroen van der Meer, RIBA / NIAI Registered Architect</w:t>
            </w:r>
          </w:p>
        </w:tc>
      </w:tr>
      <w:tr>
        <w:tc>
          <w:tcPr/>
          <w:p>
            <w:pPr>
              <w:pStyle w:val="Compact"/>
              <w:jc w:val="left"/>
            </w:pPr>
            <w:r>
              <w:t xml:space="preserve">Address</w:t>
            </w:r>
          </w:p>
        </w:tc>
        <w:tc>
          <w:tcPr/>
          <w:p>
            <w:pPr>
              <w:pStyle w:val="Compact"/>
              <w:jc w:val="left"/>
            </w:pPr>
            <w:r>
              <w:t xml:space="preserve">Keizersgracht 188, 1015 DD Amsterdam, Netherlands</w:t>
            </w:r>
          </w:p>
        </w:tc>
      </w:tr>
      <w:tr>
        <w:tc>
          <w:tcPr/>
          <w:p>
            <w:pPr>
              <w:pStyle w:val="Compact"/>
              <w:jc w:val="left"/>
            </w:pPr>
            <w:r>
              <w:t xml:space="preserve">KvK Registration</w:t>
            </w:r>
          </w:p>
        </w:tc>
        <w:tc>
          <w:tcPr/>
          <w:p>
            <w:pPr>
              <w:pStyle w:val="Compact"/>
              <w:jc w:val="left"/>
            </w:pPr>
            <w:r>
              <w:t xml:space="preserve">67890123</w:t>
            </w:r>
          </w:p>
        </w:tc>
      </w:tr>
      <w:tr>
        <w:tc>
          <w:tcPr/>
          <w:p>
            <w:pPr>
              <w:pStyle w:val="Compact"/>
              <w:jc w:val="left"/>
            </w:pPr>
            <w:r>
              <w:t xml:space="preserve">VAT Number (BTW)</w:t>
            </w:r>
          </w:p>
        </w:tc>
        <w:tc>
          <w:tcPr/>
          <w:p>
            <w:pPr>
              <w:pStyle w:val="Compact"/>
              <w:jc w:val="left"/>
            </w:pPr>
            <w:r>
              <w:t xml:space="preserve">NL867123456B01</w:t>
            </w:r>
          </w:p>
        </w:tc>
      </w:tr>
      <w:tr>
        <w:tc>
          <w:tcPr/>
          <w:p>
            <w:pPr>
              <w:pStyle w:val="Compact"/>
              <w:jc w:val="left"/>
            </w:pPr>
            <w:r>
              <w:t xml:space="preserve">Contact Email</w:t>
            </w:r>
          </w:p>
        </w:tc>
        <w:tc>
          <w:tcPr/>
          <w:p>
            <w:pPr>
              <w:pStyle w:val="Compact"/>
              <w:jc w:val="left"/>
            </w:pPr>
            <w:r>
              <w:t xml:space="preserve">projects@studiomeridian.nl</w:t>
            </w:r>
          </w:p>
        </w:tc>
      </w:tr>
      <w:tr>
        <w:tc>
          <w:tcPr/>
          <w:p>
            <w:pPr>
              <w:pStyle w:val="Compact"/>
              <w:jc w:val="left"/>
            </w:pPr>
            <w:r>
              <w:t xml:space="preserve">Professional Liability Insurance</w:t>
            </w:r>
          </w:p>
        </w:tc>
        <w:tc>
          <w:tcPr/>
          <w:p>
            <w:pPr>
              <w:pStyle w:val="Compact"/>
              <w:jc w:val="left"/>
            </w:pPr>
            <w:r>
              <w:t xml:space="preserve">Chubb Netherlands N.V. – Policy No. CHB-NL-2025-44821 (Coverage: €5,000,000)</w:t>
            </w:r>
          </w:p>
        </w:tc>
      </w:tr>
    </w:tbl>
    <w:bookmarkEnd w:id="21"/>
    <w:bookmarkStart w:id="22" w:name="description-of-architect-services"/>
    <w:p>
      <w:pPr>
        <w:pStyle w:val="Heading2"/>
      </w:pPr>
      <w:r>
        <w:t xml:space="preserve">2. Description of Architect Services</w:t>
      </w:r>
    </w:p>
    <w:p>
      <w:pPr>
        <w:pStyle w:val="FirstParagraph"/>
      </w:pPr>
      <w:r>
        <w:t xml:space="preserve">This Purchase Order is issued by Van der Berg &amp; Partners B.V. to engage the services of Studio Meridian Architecten B.V. for the design, planning, and architectural supervision of a mixed-use residential and commercial development located in the Oosterdokseiland district of Netherlands Amsterdam. The Architect shall be responsible for all phases of architectural design in accordance with the Dutch Building Act (Bouwbesluit 2012), the Amsterdam Municipal Zoning Plan (Bestemmingsplan Amsterdam Oosterdok), and all applicable European Union directives governing construction and sustainability.</w:t>
      </w:r>
    </w:p>
    <w:p>
      <w:pPr>
        <w:pStyle w:val="BodyText"/>
      </w:pPr>
      <w:r>
        <w:t xml:space="preserve">The scope of work encompasses conceptual design, schematic design, detailed architectural drawings, structural coordination, interior design specifications, landscape integration, and on-site architectural supervision throughout the construction period. The Architect shall ensure full compliance with the Amsterdam Energy Performance Certificate (EPK) requirements and the city's Climate Adaptation Strategy (Klimaatadaptatie Amsterdam).</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Phase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Conceptual Design &amp; Feasibility Study – Architect's initial design proposals, massing studies, and site analysis for the Netherlands Amsterdam plot</w:t>
            </w:r>
          </w:p>
        </w:tc>
        <w:tc>
          <w:tcPr/>
          <w:p>
            <w:pPr>
              <w:pStyle w:val="Compact"/>
              <w:jc w:val="left"/>
            </w:pPr>
            <w:r>
              <w:t xml:space="preserve">Phase 1</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Schematic Design &amp; Planning Permission Drawings – Architect's submission package for the Amsterdam Municipal Building Permit (Omgevingsvergunning)</w:t>
            </w:r>
          </w:p>
        </w:tc>
        <w:tc>
          <w:tcPr/>
          <w:p>
            <w:pPr>
              <w:pStyle w:val="Compact"/>
              <w:jc w:val="left"/>
            </w:pPr>
            <w:r>
              <w:t xml:space="preserve">Phase 2</w:t>
            </w:r>
          </w:p>
        </w:tc>
        <w:tc>
          <w:tcPr/>
          <w:p>
            <w:pPr>
              <w:pStyle w:val="Compact"/>
              <w:jc w:val="left"/>
            </w:pPr>
            <w:r>
              <w:t xml:space="preserve">1 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Detailed Architectural Design &amp; Technical Drawings – Full construction documentation, specifications, and BIM model (LOD 300)</w:t>
            </w:r>
          </w:p>
        </w:tc>
        <w:tc>
          <w:tcPr/>
          <w:p>
            <w:pPr>
              <w:pStyle w:val="Compact"/>
              <w:jc w:val="left"/>
            </w:pPr>
            <w:r>
              <w:t xml:space="preserve">Phase 3</w:t>
            </w:r>
          </w:p>
        </w:tc>
        <w:tc>
          <w:tcPr/>
          <w:p>
            <w:pPr>
              <w:pStyle w:val="Compact"/>
              <w:jc w:val="left"/>
            </w:pPr>
            <w:r>
              <w:t xml:space="preserve">1 lot</w:t>
            </w:r>
          </w:p>
        </w:tc>
        <w:tc>
          <w:tcPr/>
          <w:p>
            <w:pPr>
              <w:pStyle w:val="Compact"/>
              <w:jc w:val="left"/>
            </w:pPr>
            <w:r>
              <w:t xml:space="preserve">115,000.00</w:t>
            </w:r>
          </w:p>
        </w:tc>
        <w:tc>
          <w:tcPr/>
          <w:p>
            <w:pPr>
              <w:pStyle w:val="Compact"/>
              <w:jc w:val="left"/>
            </w:pPr>
            <w:r>
              <w:t xml:space="preserve">115,000.00</w:t>
            </w:r>
          </w:p>
        </w:tc>
      </w:tr>
      <w:tr>
        <w:tc>
          <w:tcPr/>
          <w:p>
            <w:pPr>
              <w:pStyle w:val="Compact"/>
              <w:jc w:val="left"/>
            </w:pPr>
            <w:r>
              <w:t xml:space="preserve">04</w:t>
            </w:r>
          </w:p>
        </w:tc>
        <w:tc>
          <w:tcPr/>
          <w:p>
            <w:pPr>
              <w:pStyle w:val="Compact"/>
              <w:jc w:val="left"/>
            </w:pPr>
            <w:r>
              <w:t xml:space="preserve">Tender Support &amp; Contractor Coordination – Architect's assistance during the Dutch public procurement tender process and pre-construction coordination</w:t>
            </w:r>
          </w:p>
        </w:tc>
        <w:tc>
          <w:tcPr/>
          <w:p>
            <w:pPr>
              <w:pStyle w:val="Compact"/>
              <w:jc w:val="left"/>
            </w:pPr>
            <w:r>
              <w:t xml:space="preserve">Phase 4</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Construction Phase Architectural Supervision – On-site visits (bi-weekly), design queries, variation approvals, and progress reporting in Netherlands Amsterdam</w:t>
            </w:r>
          </w:p>
        </w:tc>
        <w:tc>
          <w:tcPr/>
          <w:p>
            <w:pPr>
              <w:pStyle w:val="Compact"/>
              <w:jc w:val="left"/>
            </w:pPr>
            <w:r>
              <w:t xml:space="preserve">Phase 5</w:t>
            </w:r>
          </w:p>
        </w:tc>
        <w:tc>
          <w:tcPr/>
          <w:p>
            <w:pPr>
              <w:pStyle w:val="Compact"/>
              <w:jc w:val="left"/>
            </w:pPr>
            <w:r>
              <w:t xml:space="preserve">18 months</w:t>
            </w:r>
          </w:p>
        </w:tc>
        <w:tc>
          <w:tcPr/>
          <w:p>
            <w:pPr>
              <w:pStyle w:val="Compact"/>
              <w:jc w:val="left"/>
            </w:pPr>
            <w:r>
              <w:t xml:space="preserve">22,500.00</w:t>
            </w:r>
          </w:p>
        </w:tc>
        <w:tc>
          <w:tcPr/>
          <w:p>
            <w:pPr>
              <w:pStyle w:val="Compact"/>
              <w:jc w:val="left"/>
            </w:pPr>
            <w:r>
              <w:t xml:space="preserve">405,000.00</w:t>
            </w:r>
          </w:p>
        </w:tc>
      </w:tr>
      <w:tr>
        <w:tc>
          <w:tcPr/>
          <w:p>
            <w:pPr>
              <w:pStyle w:val="Compact"/>
              <w:jc w:val="left"/>
            </w:pPr>
            <w:r>
              <w:t xml:space="preserve">06</w:t>
            </w:r>
          </w:p>
        </w:tc>
        <w:tc>
          <w:tcPr/>
          <w:p>
            <w:pPr>
              <w:pStyle w:val="Compact"/>
              <w:jc w:val="left"/>
            </w:pPr>
            <w:r>
              <w:t xml:space="preserve">As-Built Documentation &amp; Handover – Final Architect's as-built drawings, O&amp;M manuals, and warranty documentation</w:t>
            </w:r>
          </w:p>
        </w:tc>
        <w:tc>
          <w:tcPr/>
          <w:p>
            <w:pPr>
              <w:pStyle w:val="Compact"/>
              <w:jc w:val="left"/>
            </w:pPr>
            <w:r>
              <w:t xml:space="preserve">Phase 6</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 (excl. VAT)</w:t>
            </w:r>
          </w:p>
        </w:tc>
        <w:tc>
          <w:tcPr/>
          <w:p>
            <w:pPr>
              <w:pStyle w:val="Compact"/>
              <w:jc w:val="left"/>
            </w:pPr>
            <w:r>
              <w:t xml:space="preserve">706,500.00</w:t>
            </w:r>
          </w:p>
        </w:tc>
      </w:tr>
      <w:tr>
        <w:tc>
          <w:tcPr>
            <w:gridSpan w:val="5"/>
          </w:tcPr>
          <w:p>
            <w:pPr>
              <w:pStyle w:val="Compact"/>
              <w:jc w:val="right"/>
            </w:pPr>
            <w:r>
              <w:t xml:space="preserve">VAT (21% – Netherlands)</w:t>
            </w:r>
          </w:p>
        </w:tc>
        <w:tc>
          <w:tcPr/>
          <w:p>
            <w:pPr>
              <w:pStyle w:val="Compact"/>
              <w:jc w:val="left"/>
            </w:pPr>
            <w:r>
              <w:t xml:space="preserve">148,365.00</w:t>
            </w:r>
          </w:p>
        </w:tc>
      </w:tr>
      <w:tr>
        <w:tc>
          <w:tcPr>
            <w:gridSpan w:val="5"/>
          </w:tcPr>
          <w:p>
            <w:pPr>
              <w:pStyle w:val="Compact"/>
              <w:jc w:val="right"/>
            </w:pPr>
            <w:r>
              <w:t xml:space="preserve">TOTAL PURCHASE ORDER VALUE (incl. VAT)</w:t>
            </w:r>
          </w:p>
        </w:tc>
        <w:tc>
          <w:tcPr/>
          <w:p>
            <w:pPr>
              <w:pStyle w:val="Compact"/>
              <w:jc w:val="left"/>
            </w:pPr>
            <w:r>
              <w:t xml:space="preserve">854,865.00</w:t>
            </w:r>
          </w:p>
        </w:tc>
      </w:tr>
    </w:tbl>
    <w:bookmarkEnd w:id="23"/>
    <w:bookmarkStart w:id="24" w:name="payment-schedule"/>
    <w:p>
      <w:pPr>
        <w:pStyle w:val="Heading2"/>
      </w:pPr>
      <w:r>
        <w:t xml:space="preserve">4. Payment Schedule</w:t>
      </w:r>
    </w:p>
    <w:p>
      <w:pPr>
        <w:pStyle w:val="FirstParagraph"/>
      </w:pPr>
      <w:r>
        <w:t xml:space="preserve">Payment shall be made in accordance with the following milestone schedule, with each invoice due within thirty (30) calendar days of receipt. All payments shall be made via SEPA bank transfer to the Architect's designated account in the Netherlands.</w:t>
      </w:r>
    </w:p>
    <w:p>
      <w:pPr>
        <w:numPr>
          <w:ilvl w:val="0"/>
          <w:numId w:val="1001"/>
        </w:numPr>
        <w:pStyle w:val="Compact"/>
      </w:pPr>
      <w:r>
        <w:rPr>
          <w:bCs/>
          <w:b/>
        </w:rPr>
        <w:t xml:space="preserve">Milestone 1 (20%):</w:t>
      </w:r>
      <w:r>
        <w:t xml:space="preserve"> </w:t>
      </w:r>
      <w:r>
        <w:t xml:space="preserve">Upon completion and acceptance of Phase 1 – Conceptual Design. Amount: €171,973.00 (incl. VAT).</w:t>
      </w:r>
    </w:p>
    <w:p>
      <w:pPr>
        <w:numPr>
          <w:ilvl w:val="0"/>
          <w:numId w:val="1001"/>
        </w:numPr>
        <w:pStyle w:val="Compact"/>
      </w:pPr>
      <w:r>
        <w:rPr>
          <w:bCs/>
          <w:b/>
        </w:rPr>
        <w:t xml:space="preserve">Milestone 2 (25%):</w:t>
      </w:r>
      <w:r>
        <w:t xml:space="preserve"> </w:t>
      </w:r>
      <w:r>
        <w:t xml:space="preserve">Upon submission of Phase 2 – Schematic Design to the Amsterdam municipality. Amount: €213,716.25 (incl. VAT).</w:t>
      </w:r>
    </w:p>
    <w:p>
      <w:pPr>
        <w:numPr>
          <w:ilvl w:val="0"/>
          <w:numId w:val="1001"/>
        </w:numPr>
        <w:pStyle w:val="Compact"/>
      </w:pPr>
      <w:r>
        <w:rPr>
          <w:bCs/>
          <w:b/>
        </w:rPr>
        <w:t xml:space="preserve">Milestone 3 (30%):</w:t>
      </w:r>
      <w:r>
        <w:t xml:space="preserve"> </w:t>
      </w:r>
      <w:r>
        <w:t xml:space="preserve">Upon completion of Phase 3 – Detailed Design and BIM model delivery. Amount: €256,459.50 (incl. VAT).</w:t>
      </w:r>
    </w:p>
    <w:p>
      <w:pPr>
        <w:numPr>
          <w:ilvl w:val="0"/>
          <w:numId w:val="1001"/>
        </w:numPr>
        <w:pStyle w:val="Compact"/>
      </w:pPr>
      <w:r>
        <w:rPr>
          <w:bCs/>
          <w:b/>
        </w:rPr>
        <w:t xml:space="preserve">Milestone 4 (10%):</w:t>
      </w:r>
      <w:r>
        <w:t xml:space="preserve"> </w:t>
      </w:r>
      <w:r>
        <w:t xml:space="preserve">Upon completion of Phase 4 – Tender Support. Amount: €85,486.50 (incl. VAT).</w:t>
      </w:r>
    </w:p>
    <w:p>
      <w:pPr>
        <w:numPr>
          <w:ilvl w:val="0"/>
          <w:numId w:val="1001"/>
        </w:numPr>
        <w:pStyle w:val="Compact"/>
      </w:pPr>
      <w:r>
        <w:rPr>
          <w:bCs/>
          <w:b/>
        </w:rPr>
        <w:t xml:space="preserve">Milestone 5 (10%):</w:t>
      </w:r>
      <w:r>
        <w:t xml:space="preserve"> </w:t>
      </w:r>
      <w:r>
        <w:t xml:space="preserve">Monthly progress payments during Phase 5 – Construction Supervision. Amount: €47,492.50 per month (incl. VAT).</w:t>
      </w:r>
    </w:p>
    <w:p>
      <w:pPr>
        <w:numPr>
          <w:ilvl w:val="0"/>
          <w:numId w:val="1001"/>
        </w:numPr>
        <w:pStyle w:val="Compact"/>
      </w:pPr>
      <w:r>
        <w:rPr>
          <w:bCs/>
          <w:b/>
        </w:rPr>
        <w:t xml:space="preserve">Milestone 6 (5%):</w:t>
      </w:r>
      <w:r>
        <w:t xml:space="preserve"> </w:t>
      </w:r>
      <w:r>
        <w:t xml:space="preserve">Upon final handover of Phase 6 – As-Built Documentation. Amount: €42,743.25 (incl. VAT).</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Netherlands. Any disputes arising from this Purchase Order shall be subject to the exclusive jurisdiction of the District Court of Amsterdam, Netherlands.</w:t>
      </w:r>
    </w:p>
    <w:p>
      <w:pPr>
        <w:numPr>
          <w:ilvl w:val="0"/>
          <w:numId w:val="1002"/>
        </w:numPr>
        <w:pStyle w:val="Compact"/>
      </w:pPr>
      <w:r>
        <w:t xml:space="preserve">The Architect warrants that all design work shall comply with the Dutch Building Act (Bouwbesluit 2012), the Amsterdam Municipal Regulations, and all applicable EU directives, including the Energy Performance of Buildings Directive (EPBD 2018/2001).</w:t>
      </w:r>
    </w:p>
    <w:p>
      <w:pPr>
        <w:numPr>
          <w:ilvl w:val="0"/>
          <w:numId w:val="1002"/>
        </w:numPr>
        <w:pStyle w:val="Compact"/>
      </w:pPr>
      <w:r>
        <w:t xml:space="preserve">The Architect shall maintain professional liability insurance of no less than €5,000,000 throughout the duration of this Purchase Order and shall provide a certificate of insurance upon request.</w:t>
      </w:r>
    </w:p>
    <w:p>
      <w:pPr>
        <w:numPr>
          <w:ilvl w:val="0"/>
          <w:numId w:val="1002"/>
        </w:numPr>
        <w:pStyle w:val="Compact"/>
      </w:pPr>
      <w:r>
        <w:t xml:space="preserve">All intellectual property rights in the architectural drawings, BIM models, and design documents produced under this Purchase Order shall vest in Van der Berg &amp; Partners B.V. upon full payment, subject to the Architect's right of moral attribution as recognized under Dutch copyright law (Auteurswet).</w:t>
      </w:r>
    </w:p>
    <w:p>
      <w:pPr>
        <w:numPr>
          <w:ilvl w:val="0"/>
          <w:numId w:val="1002"/>
        </w:numPr>
        <w:pStyle w:val="Compact"/>
      </w:pPr>
      <w:r>
        <w:t xml:space="preserve">The Architect shall not subcontract any portion of the architectural services without prior written consent from the Purchaser. Any approved subcontractor shall be based in the Netherlands or the European Economic Area.</w:t>
      </w:r>
    </w:p>
    <w:p>
      <w:pPr>
        <w:numPr>
          <w:ilvl w:val="0"/>
          <w:numId w:val="1002"/>
        </w:numPr>
        <w:pStyle w:val="Compact"/>
      </w:pPr>
      <w:r>
        <w:t xml:space="preserve">Delays in the Architect's delivery of any phase beyond the agreed schedule shall entitle the Purchaser to liquidated damages of 0.1% of the total Purchase Order value per calendar day of delay, capped at 10% of the total value.</w:t>
      </w:r>
    </w:p>
    <w:p>
      <w:pPr>
        <w:numPr>
          <w:ilvl w:val="0"/>
          <w:numId w:val="1002"/>
        </w:numPr>
        <w:pStyle w:val="Compact"/>
      </w:pPr>
      <w:r>
        <w:t xml:space="preserve">This Purchase Order may be terminated by either party with thirty (30) days' written notice. In the event of termination, the Architect shall be compensated for all work completed and accepted up to the date of termination.</w:t>
      </w:r>
    </w:p>
    <w:p>
      <w:pPr>
        <w:numPr>
          <w:ilvl w:val="0"/>
          <w:numId w:val="1002"/>
        </w:numPr>
        <w:pStyle w:val="Compact"/>
      </w:pPr>
      <w:r>
        <w:t xml:space="preserve">All communications regarding this Purchase Order shall be conducted in English or Dutch. The Dutch language version shall prevail in the event of any discrepancy.</w:t>
      </w:r>
    </w:p>
    <w:p>
      <w:pPr>
        <w:numPr>
          <w:ilvl w:val="0"/>
          <w:numId w:val="1002"/>
        </w:numPr>
        <w:pStyle w:val="Compact"/>
      </w:pPr>
      <w:r>
        <w:t xml:space="preserve">The Architect shall comply with all applicable data protection regulations, including the General Data Protection Regulation (GDPR) and the Dutch Implementation Act (UAVG), in the handling of any personal data encountered during the project in Netherlands Amsterdam.</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outlined in this Purchase Order for the engagement of the Architect for the project located in Netherlands Amsterdam. This document constitutes a binding agreement upon execution by both authorized representatives.</w:t>
      </w:r>
    </w:p>
    <w:bookmarkEnd w:id="26"/>
    <w:p>
      <w:pPr>
        <w:pStyle w:val="BodyText"/>
      </w:pPr>
      <w:r>
        <w:rPr>
          <w:bCs/>
          <w:b/>
        </w:rPr>
        <w:t xml:space="preserve">For and on behalf of the Purchaser:</w:t>
      </w:r>
    </w:p>
    <w:p>
      <w:pPr>
        <w:pStyle w:val="BodyText"/>
      </w:pPr>
      <w:r>
        <w:t xml:space="preserve">Van der Berg &amp; Partners B.V.</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Architect:</w:t>
      </w:r>
    </w:p>
    <w:p>
      <w:pPr>
        <w:pStyle w:val="BodyText"/>
      </w:pPr>
      <w:r>
        <w:t xml:space="preserve">Studio Meridian Architecten B.V.</w:t>
      </w:r>
    </w:p>
    <w:p>
      <w:pPr>
        <w:pStyle w:val="BodyText"/>
      </w:pPr>
      <w:r>
        <w:t xml:space="preserve">Name: ______________________________</w:t>
      </w:r>
      <w:r>
        <w:br/>
      </w:r>
      <w:r>
        <w:t xml:space="preserve">Title: Lead Architect / Managing Partner</w:t>
      </w:r>
      <w:r>
        <w:br/>
      </w:r>
      <w:r>
        <w:t xml:space="preserve">Signature: ______________________________</w:t>
      </w:r>
      <w:r>
        <w:br/>
      </w:r>
      <w:r>
        <w:t xml:space="preserve">Date: ______________________________</w:t>
      </w:r>
    </w:p>
    <w:p>
      <w:pPr>
        <w:pStyle w:val="BodyText"/>
      </w:pPr>
      <w:r>
        <w:t xml:space="preserve">Purchase Order PO-2025-AM-0047 | Van der Berg &amp; Partners B.V. | Herengracht 420, 1017 CA Amsterdam, Netherlands</w:t>
      </w:r>
    </w:p>
    <w:p>
      <w:pPr>
        <w:pStyle w:val="BodyText"/>
      </w:pPr>
      <w:r>
        <w:t xml:space="preserve">This document is issued in accordance with Dutch commercial law. For queries, contact procurement@vandberghpartners.nl</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Netherlands Amsterdam</dc:title>
  <dc:creator/>
  <dc:language>en</dc:language>
  <cp:keywords/>
  <dcterms:created xsi:type="dcterms:W3CDTF">2026-10-10T02:30:56Z</dcterms:created>
  <dcterms:modified xsi:type="dcterms:W3CDTF">2026-10-10T02:30:56Z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