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PO-WLG-2025-0487</w:t>
      </w:r>
    </w:p>
    <w:p>
      <w:pPr>
        <w:pStyle w:val="BodyText"/>
      </w:pPr>
      <w:r>
        <w:t xml:space="preserve">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Architectural Design &amp; Professional Services — New Zealand Wellington</w:t>
      </w:r>
    </w:p>
    <w:bookmarkEnd w:id="20"/>
    <w:bookmarkStart w:id="21" w:name="purchasing-entity-buyer"/>
    <w:p>
      <w:pPr>
        <w:pStyle w:val="Heading2"/>
      </w:pPr>
      <w:r>
        <w:t xml:space="preserve">1. Purchasing Entity (Buyer)</w:t>
      </w:r>
    </w:p>
    <w:p>
      <w:pPr>
        <w:pStyle w:val="FirstParagraph"/>
      </w:pPr>
      <w:r>
        <w:rPr>
          <w:bCs/>
          <w:b/>
        </w:rPr>
        <w:t xml:space="preserve">Wellington Harbour Development Trust Ltd</w:t>
      </w:r>
      <w:r>
        <w:br/>
      </w:r>
      <w:r>
        <w:t xml:space="preserve">Level 4, 128 Cuba Street</w:t>
      </w:r>
      <w:r>
        <w:br/>
      </w:r>
      <w:r>
        <w:t xml:space="preserve">Wellington Central, Wellington 6011</w:t>
      </w:r>
      <w:r>
        <w:br/>
      </w:r>
      <w:r>
        <w:t xml:space="preserve">New Zealand</w:t>
      </w:r>
      <w:r>
        <w:br/>
      </w:r>
      <w:r>
        <w:t xml:space="preserve">Phone: +64 4 472 8830</w:t>
      </w:r>
      <w:r>
        <w:br/>
      </w:r>
      <w:r>
        <w:t xml:space="preserve">Email: procurement@whdt.co.nz</w:t>
      </w:r>
      <w:r>
        <w:br/>
      </w:r>
      <w:r>
        <w:t xml:space="preserve">NZBN: 942904871235678</w:t>
      </w:r>
      <w:r>
        <w:br/>
      </w:r>
      <w:r>
        <w:t xml:space="preserve">GST Number: 123-456-789</w:t>
      </w:r>
    </w:p>
    <w:bookmarkEnd w:id="21"/>
    <w:bookmarkStart w:id="22" w:name="supplier-architect"/>
    <w:p>
      <w:pPr>
        <w:pStyle w:val="Heading2"/>
      </w:pPr>
      <w:r>
        <w:t xml:space="preserve">2. Supplier (Architect)</w:t>
      </w:r>
    </w:p>
    <w:p>
      <w:pPr>
        <w:pStyle w:val="FirstParagraph"/>
      </w:pPr>
      <w:r>
        <w:rPr>
          <w:bCs/>
          <w:b/>
        </w:rPr>
        <w:t xml:space="preserve">Te Whare Tāhū Architecture &amp; Design Studio</w:t>
      </w:r>
      <w:r>
        <w:br/>
      </w:r>
      <w:r>
        <w:t xml:space="preserve">7 Featherston Street, Te Aro</w:t>
      </w:r>
      <w:r>
        <w:br/>
      </w:r>
      <w:r>
        <w:t xml:space="preserve">Wellington Central, Wellington 6011</w:t>
      </w:r>
      <w:r>
        <w:br/>
      </w:r>
      <w:r>
        <w:t xml:space="preserve">New Zealand</w:t>
      </w:r>
      <w:r>
        <w:br/>
      </w:r>
      <w:r>
        <w:t xml:space="preserve">Phone: +64 4 385 2210</w:t>
      </w:r>
      <w:r>
        <w:br/>
      </w:r>
      <w:r>
        <w:t xml:space="preserve">Email: contracts@tewhareta.hu.nz</w:t>
      </w:r>
      <w:r>
        <w:br/>
      </w:r>
      <w:r>
        <w:t xml:space="preserve">NZBN: 942903345678901</w:t>
      </w:r>
      <w:r>
        <w:br/>
      </w:r>
      <w:r>
        <w:t xml:space="preserve">GST Number: 987-654-321</w:t>
      </w:r>
      <w:r>
        <w:br/>
      </w:r>
      <w:r>
        <w:t xml:space="preserve">NZIA Registration: NZIA-2019-0442</w:t>
      </w:r>
    </w:p>
    <w:bookmarkEnd w:id="22"/>
    <w:bookmarkStart w:id="23" w:name="project-description"/>
    <w:p>
      <w:pPr>
        <w:pStyle w:val="Heading2"/>
      </w:pPr>
      <w:r>
        <w:t xml:space="preserve">3. Project Description</w:t>
      </w:r>
    </w:p>
    <w:p>
      <w:pPr>
        <w:pStyle w:val="FirstParagraph"/>
      </w:pPr>
      <w:r>
        <w:t xml:space="preserve">This Purchase Order is issued by Wellington Harbour Development Trust Ltd to engage the services of Te Whare Tāhū Architecture &amp; Design Studio, a registered Architect firm based in New Zealand Wellington, to deliver comprehensive architectural design, planning, and project management services for the</w:t>
      </w:r>
      <w:r>
        <w:t xml:space="preserve"> </w:t>
      </w:r>
      <w:r>
        <w:rPr>
          <w:bCs/>
          <w:b/>
        </w:rPr>
        <w:t xml:space="preserve">Wellington Waterfront Mixed-Use Development</w:t>
      </w:r>
      <w:r>
        <w:t xml:space="preserve"> </w:t>
      </w:r>
      <w:r>
        <w:t xml:space="preserve">located at 45-51 Jervois Quay, Wellington, New Zealand. The Architect shall be responsible for all design phases from concept through to construction documentation, in full compliance with the New Zealand Building Code, the Wellington City Council District Plan, and all applicable local authority requirements specific to the Wellington region.</w:t>
      </w:r>
    </w:p>
    <w:bookmarkEnd w:id="23"/>
    <w:bookmarkStart w:id="24" w:name="scope-of-architect-services-line-items"/>
    <w:p>
      <w:pPr>
        <w:pStyle w:val="Heading2"/>
      </w:pPr>
      <w:r>
        <w:t xml:space="preserve">4. Scope of Architect Services &amp;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Architect Service</w:t>
            </w:r>
          </w:p>
        </w:tc>
        <w:tc>
          <w:tcPr/>
          <w:p>
            <w:pPr>
              <w:pStyle w:val="Compact"/>
              <w:jc w:val="left"/>
            </w:pPr>
            <w:r>
              <w:t xml:space="preserve">Phase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Concept Design &amp; Feasibility Study for Wellington Waterfront Development</w:t>
            </w:r>
          </w:p>
        </w:tc>
        <w:tc>
          <w:tcPr/>
          <w:p>
            <w:pPr>
              <w:pStyle w:val="Compact"/>
              <w:jc w:val="left"/>
            </w:pPr>
            <w:r>
              <w:t xml:space="preserve">Phase 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Resource Consent &amp; Building Consent Documentation (Wellington City Council)</w:t>
            </w:r>
          </w:p>
        </w:tc>
        <w:tc>
          <w:tcPr/>
          <w:p>
            <w:pPr>
              <w:pStyle w:val="Compact"/>
              <w:jc w:val="left"/>
            </w:pPr>
            <w:r>
              <w:t xml:space="preserve">Phase 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Detailed Architectural Drawings &amp; Specifications (Construction Set)</w:t>
            </w:r>
          </w:p>
        </w:tc>
        <w:tc>
          <w:tcPr/>
          <w:p>
            <w:pPr>
              <w:pStyle w:val="Compact"/>
              <w:jc w:val="left"/>
            </w:pPr>
            <w:r>
              <w:t xml:space="preserve">Phase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115,000.00</w:t>
            </w:r>
          </w:p>
        </w:tc>
        <w:tc>
          <w:tcPr/>
          <w:p>
            <w:pPr>
              <w:pStyle w:val="Compact"/>
              <w:jc w:val="left"/>
            </w:pPr>
            <w:r>
              <w:t xml:space="preserve">115,000.00</w:t>
            </w:r>
          </w:p>
        </w:tc>
      </w:tr>
      <w:tr>
        <w:tc>
          <w:tcPr/>
          <w:p>
            <w:pPr>
              <w:pStyle w:val="Compact"/>
              <w:jc w:val="left"/>
            </w:pPr>
            <w:r>
              <w:t xml:space="preserve">04</w:t>
            </w:r>
          </w:p>
        </w:tc>
        <w:tc>
          <w:tcPr/>
          <w:p>
            <w:pPr>
              <w:pStyle w:val="Compact"/>
              <w:jc w:val="left"/>
            </w:pPr>
            <w:r>
              <w:t xml:space="preserve">Site Supervision &amp; Construction Phase Architectural Services</w:t>
            </w:r>
          </w:p>
        </w:tc>
        <w:tc>
          <w:tcPr/>
          <w:p>
            <w:pPr>
              <w:pStyle w:val="Compact"/>
              <w:jc w:val="left"/>
            </w:pPr>
            <w:r>
              <w:t xml:space="preserve">Phase 4</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p>
            <w:pPr>
              <w:pStyle w:val="Compact"/>
              <w:jc w:val="left"/>
            </w:pPr>
            <w:r>
              <w:t xml:space="preserve">05</w:t>
            </w:r>
          </w:p>
        </w:tc>
        <w:tc>
          <w:tcPr/>
          <w:p>
            <w:pPr>
              <w:pStyle w:val="Compact"/>
              <w:jc w:val="left"/>
            </w:pPr>
            <w:r>
              <w:t xml:space="preserve">Heritage Impact Assessment &amp; Māori Cultural Consultation (Wellington Region)</w:t>
            </w:r>
          </w:p>
        </w:tc>
        <w:tc>
          <w:tcPr/>
          <w:p>
            <w:pPr>
              <w:pStyle w:val="Compact"/>
              <w:jc w:val="left"/>
            </w:pPr>
            <w:r>
              <w:t xml:space="preserve">Phase 2</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Energy Modelling &amp; Passive House Compliance (NZ Building Code E1/E2)</w:t>
            </w:r>
          </w:p>
        </w:tc>
        <w:tc>
          <w:tcPr/>
          <w:p>
            <w:pPr>
              <w:pStyle w:val="Compact"/>
              <w:jc w:val="left"/>
            </w:pPr>
            <w:r>
              <w:t xml:space="preserve">Phase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07</w:t>
            </w:r>
          </w:p>
        </w:tc>
        <w:tc>
          <w:tcPr/>
          <w:p>
            <w:pPr>
              <w:pStyle w:val="Compact"/>
              <w:jc w:val="left"/>
            </w:pPr>
            <w:r>
              <w:t xml:space="preserve">As-Built Documentation &amp; Handover Package</w:t>
            </w:r>
          </w:p>
        </w:tc>
        <w:tc>
          <w:tcPr/>
          <w:p>
            <w:pPr>
              <w:pStyle w:val="Compact"/>
              <w:jc w:val="left"/>
            </w:pPr>
            <w:r>
              <w:t xml:space="preserve">Phase 5</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6"/>
          </w:tcPr>
          <w:p>
            <w:pPr>
              <w:pStyle w:val="Compact"/>
              <w:jc w:val="left"/>
            </w:pPr>
            <w:r>
              <w:t xml:space="preserve">Subtotal (NZD)</w:t>
            </w:r>
          </w:p>
        </w:tc>
        <w:tc>
          <w:tcPr/>
          <w:p>
            <w:pPr>
              <w:pStyle w:val="Compact"/>
              <w:jc w:val="left"/>
            </w:pPr>
            <w:r>
              <w:t xml:space="preserve">404,000.00</w:t>
            </w:r>
          </w:p>
        </w:tc>
      </w:tr>
      <w:tr>
        <w:tc>
          <w:tcPr>
            <w:gridSpan w:val="6"/>
          </w:tcPr>
          <w:p>
            <w:pPr>
              <w:pStyle w:val="Compact"/>
              <w:jc w:val="left"/>
            </w:pPr>
            <w:r>
              <w:t xml:space="preserve">GST (15%)</w:t>
            </w:r>
          </w:p>
        </w:tc>
        <w:tc>
          <w:tcPr/>
          <w:p>
            <w:pPr>
              <w:pStyle w:val="Compact"/>
              <w:jc w:val="left"/>
            </w:pPr>
            <w:r>
              <w:t xml:space="preserve">60,600.00</w:t>
            </w:r>
          </w:p>
        </w:tc>
      </w:tr>
      <w:tr>
        <w:tc>
          <w:tcPr>
            <w:gridSpan w:val="6"/>
          </w:tcPr>
          <w:p>
            <w:pPr>
              <w:pStyle w:val="Compact"/>
              <w:jc w:val="left"/>
            </w:pPr>
            <w:r>
              <w:rPr>
                <w:bCs/>
                <w:b/>
              </w:rPr>
              <w:t xml:space="preserve">TOTAL PURCHASE ORDER VALUE (NZD)</w:t>
            </w:r>
          </w:p>
        </w:tc>
        <w:tc>
          <w:tcPr/>
          <w:p>
            <w:pPr>
              <w:pStyle w:val="Compact"/>
              <w:jc w:val="left"/>
            </w:pPr>
            <w:r>
              <w:rPr>
                <w:bCs/>
                <w:b/>
              </w:rPr>
              <w:t xml:space="preserve">464,600.00</w:t>
            </w:r>
          </w:p>
        </w:tc>
      </w:tr>
    </w:tbl>
    <w:bookmarkEnd w:id="24"/>
    <w:bookmarkStart w:id="25" w:name="payment-terms-conditions"/>
    <w:p>
      <w:pPr>
        <w:pStyle w:val="Heading2"/>
      </w:pPr>
      <w:r>
        <w:t xml:space="preserve">5. Payment Terms &amp; Conditions</w:t>
      </w:r>
    </w:p>
    <w:p>
      <w:pPr>
        <w:numPr>
          <w:ilvl w:val="0"/>
          <w:numId w:val="1001"/>
        </w:numPr>
        <w:pStyle w:val="Compact"/>
      </w:pPr>
      <w:r>
        <w:rPr>
          <w:bCs/>
          <w:b/>
        </w:rPr>
        <w:t xml:space="preserve">Payment Schedule:</w:t>
      </w:r>
      <w:r>
        <w:t xml:space="preserve"> </w:t>
      </w:r>
      <w:r>
        <w:t xml:space="preserve">Payment shall be made in accordance with the following milestones: 20% upon execution of this Purchase Order, 25% upon completion of Phase 1 (Concept Design), 25% upon lodgement of consent documentation with Wellington City Council, 20% upon completion of construction drawings, and 10% upon final handover. All payments are due within 20 business days of receipt of a valid tax invoice from the Architect.</w:t>
      </w:r>
    </w:p>
    <w:p>
      <w:pPr>
        <w:numPr>
          <w:ilvl w:val="0"/>
          <w:numId w:val="1001"/>
        </w:numPr>
        <w:pStyle w:val="Compact"/>
      </w:pPr>
      <w:r>
        <w:rPr>
          <w:bCs/>
          <w:b/>
        </w:rPr>
        <w:t xml:space="preserve">Currency:</w:t>
      </w:r>
      <w:r>
        <w:t xml:space="preserve"> </w:t>
      </w:r>
      <w:r>
        <w:t xml:space="preserve">All amounts stated in this Purchase Order are in New Zealand Dollars (NZD). The Architect shall issue all invoices in NZD in accordance with the Goods and Services Tax Act 1985 (New Zealand).</w:t>
      </w:r>
    </w:p>
    <w:p>
      <w:pPr>
        <w:numPr>
          <w:ilvl w:val="0"/>
          <w:numId w:val="1001"/>
        </w:numPr>
        <w:pStyle w:val="Compact"/>
      </w:pPr>
      <w:r>
        <w:rPr>
          <w:bCs/>
          <w:b/>
        </w:rPr>
        <w:t xml:space="preserve">Late Payment:</w:t>
      </w:r>
      <w:r>
        <w:t xml:space="preserve"> </w:t>
      </w:r>
      <w:r>
        <w:t xml:space="preserve">Interest on overdue amounts shall accrue at the rate prescribed under the Late Payment of Debts Interest Act 1998 (New Zealand), calculated daily from the due date until payment is received in full.</w:t>
      </w:r>
    </w:p>
    <w:p>
      <w:pPr>
        <w:numPr>
          <w:ilvl w:val="0"/>
          <w:numId w:val="1001"/>
        </w:numPr>
        <w:pStyle w:val="Compact"/>
      </w:pPr>
      <w:r>
        <w:rPr>
          <w:bCs/>
          <w:b/>
        </w:rPr>
        <w:t xml:space="preserve">Change Orders:</w:t>
      </w:r>
      <w:r>
        <w:t xml:space="preserve"> </w:t>
      </w:r>
      <w:r>
        <w:t xml:space="preserve">Any variation to the scope of Architect services beyond the original Purchase Order value of 10% must be approved in writing by both parties prior to commencement. Variations shall be priced at the Architect's standard hourly rate of NZD 185.00 per hour, inclusive of GST.</w:t>
      </w:r>
    </w:p>
    <w:p>
      <w:pPr>
        <w:numPr>
          <w:ilvl w:val="0"/>
          <w:numId w:val="1001"/>
        </w:numPr>
        <w:pStyle w:val="Compact"/>
      </w:pPr>
      <w:r>
        <w:rPr>
          <w:bCs/>
          <w:b/>
        </w:rPr>
        <w:t xml:space="preserve">Intellectual Property:</w:t>
      </w:r>
      <w:r>
        <w:t xml:space="preserve"> </w:t>
      </w:r>
      <w:r>
        <w:t xml:space="preserve">Upon full and final payment, all architectural drawings, design documents, and intellectual property created by the Architect specifically for this Wellington project shall vest in Wellington Harbour Development Trust Ltd. The Architect retains the right to use general design methodologies and non-project-specific knowledge.</w:t>
      </w:r>
    </w:p>
    <w:p>
      <w:pPr>
        <w:numPr>
          <w:ilvl w:val="0"/>
          <w:numId w:val="1001"/>
        </w:numPr>
        <w:pStyle w:val="Compact"/>
      </w:pPr>
      <w:r>
        <w:rPr>
          <w:bCs/>
          <w:b/>
        </w:rPr>
        <w:t xml:space="preserve">Insurance:</w:t>
      </w:r>
      <w:r>
        <w:t xml:space="preserve"> </w:t>
      </w:r>
      <w:r>
        <w:t xml:space="preserve">The Architect shall maintain professional indemnity insurance of no less than NZD 5,000,000 per claim and public liability insurance of no less than NZD 10,000,000 for the duration of the engagement, as required under the New Zealand Institute of Architects (NZIA) Code of Professional Conduct.</w:t>
      </w:r>
    </w:p>
    <w:p>
      <w:pPr>
        <w:numPr>
          <w:ilvl w:val="0"/>
          <w:numId w:val="1001"/>
        </w:numPr>
        <w:pStyle w:val="Compact"/>
      </w:pPr>
      <w:r>
        <w:rPr>
          <w:bCs/>
          <w:b/>
        </w:rPr>
        <w:t xml:space="preserve">Compliance:</w:t>
      </w:r>
      <w:r>
        <w:t xml:space="preserve"> </w:t>
      </w:r>
      <w:r>
        <w:t xml:space="preserve">The Architect shall comply with all applicable New Zealand legislation, including the Building Act 2004, the Resource Management Act 1991, the Health and Safety at Work Act 2015, and the Wellington City Council District Plan 2019. All design work must adhere to the New Zealand Building Code and any specific Wellington regional planning requirements.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Architect shall be compensated for all services rendered and reasonable costs incurred up to the date of termination, less any amounts already paid.</w:t>
      </w:r>
    </w:p>
    <w:p>
      <w:pPr>
        <w:numPr>
          <w:ilvl w:val="0"/>
          <w:numId w:val="1001"/>
        </w:numPr>
        <w:pStyle w:val="Compact"/>
      </w:pPr>
      <w:r>
        <w:rPr>
          <w:bCs/>
          <w:b/>
        </w:rPr>
        <w:t xml:space="preserve">Dispute Resolution:</w:t>
      </w:r>
      <w:r>
        <w:t xml:space="preserve"> </w:t>
      </w:r>
      <w:r>
        <w:t xml:space="preserve">Any dispute arising under this Purchase Order shall first be referred to mediation in Wellington, New Zealand, in accordance with the Mediation Act 2001. If mediation fails, the dispute shall be resolved by the District Court of Wellington, New Zealand.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specifically the jurisdiction of Wellington.</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Execution &amp; Mobilisation</w:t>
            </w:r>
          </w:p>
        </w:tc>
        <w:tc>
          <w:tcPr/>
          <w:p>
            <w:pPr>
              <w:pStyle w:val="Compact"/>
              <w:jc w:val="left"/>
            </w:pPr>
            <w:r>
              <w:t xml:space="preserve">20 June 2025</w:t>
            </w:r>
          </w:p>
        </w:tc>
        <w:tc>
          <w:tcPr/>
          <w:p>
            <w:pPr>
              <w:pStyle w:val="Compact"/>
              <w:jc w:val="left"/>
            </w:pPr>
            <w:r>
              <w:t xml:space="preserve">Wellington, New Zealand</w:t>
            </w:r>
          </w:p>
        </w:tc>
      </w:tr>
      <w:tr>
        <w:tc>
          <w:tcPr/>
          <w:p>
            <w:pPr>
              <w:pStyle w:val="Compact"/>
              <w:jc w:val="left"/>
            </w:pPr>
            <w:r>
              <w:t xml:space="preserve">Concept Design Presentation</w:t>
            </w:r>
          </w:p>
        </w:tc>
        <w:tc>
          <w:tcPr/>
          <w:p>
            <w:pPr>
              <w:pStyle w:val="Compact"/>
              <w:jc w:val="left"/>
            </w:pPr>
            <w:r>
              <w:t xml:space="preserve">15 August 2025</w:t>
            </w:r>
          </w:p>
        </w:tc>
        <w:tc>
          <w:tcPr/>
          <w:p>
            <w:pPr>
              <w:pStyle w:val="Compact"/>
              <w:jc w:val="left"/>
            </w:pPr>
            <w:r>
              <w:t xml:space="preserve">Wellington, New Zealand</w:t>
            </w:r>
          </w:p>
        </w:tc>
      </w:tr>
      <w:tr>
        <w:tc>
          <w:tcPr/>
          <w:p>
            <w:pPr>
              <w:pStyle w:val="Compact"/>
              <w:jc w:val="left"/>
            </w:pPr>
            <w:r>
              <w:t xml:space="preserve">Consent Lodgement (Wellington City Council)</w:t>
            </w:r>
          </w:p>
        </w:tc>
        <w:tc>
          <w:tcPr/>
          <w:p>
            <w:pPr>
              <w:pStyle w:val="Compact"/>
              <w:jc w:val="left"/>
            </w:pPr>
            <w:r>
              <w:t xml:space="preserve">30 September 2025</w:t>
            </w:r>
          </w:p>
        </w:tc>
        <w:tc>
          <w:tcPr/>
          <w:p>
            <w:pPr>
              <w:pStyle w:val="Compact"/>
              <w:jc w:val="left"/>
            </w:pPr>
            <w:r>
              <w:t xml:space="preserve">Wellington, New Zealand</w:t>
            </w:r>
          </w:p>
        </w:tc>
      </w:tr>
      <w:tr>
        <w:tc>
          <w:tcPr/>
          <w:p>
            <w:pPr>
              <w:pStyle w:val="Compact"/>
              <w:jc w:val="left"/>
            </w:pPr>
            <w:r>
              <w:t xml:space="preserve">Construction Drawings Issued</w:t>
            </w:r>
          </w:p>
        </w:tc>
        <w:tc>
          <w:tcPr/>
          <w:p>
            <w:pPr>
              <w:pStyle w:val="Compact"/>
              <w:jc w:val="left"/>
            </w:pPr>
            <w:r>
              <w:t xml:space="preserve">30 November 2025</w:t>
            </w:r>
          </w:p>
        </w:tc>
        <w:tc>
          <w:tcPr/>
          <w:p>
            <w:pPr>
              <w:pStyle w:val="Compact"/>
              <w:jc w:val="left"/>
            </w:pPr>
            <w:r>
              <w:t xml:space="preserve">Wellington, New Zealand</w:t>
            </w:r>
          </w:p>
        </w:tc>
      </w:tr>
      <w:tr>
        <w:tc>
          <w:tcPr/>
          <w:p>
            <w:pPr>
              <w:pStyle w:val="Compact"/>
              <w:jc w:val="left"/>
            </w:pPr>
            <w:r>
              <w:t xml:space="preserve">Construction Phase Commencement</w:t>
            </w:r>
          </w:p>
        </w:tc>
        <w:tc>
          <w:tcPr/>
          <w:p>
            <w:pPr>
              <w:pStyle w:val="Compact"/>
              <w:jc w:val="left"/>
            </w:pPr>
            <w:r>
              <w:t xml:space="preserve">15 January 2026</w:t>
            </w:r>
          </w:p>
        </w:tc>
        <w:tc>
          <w:tcPr/>
          <w:p>
            <w:pPr>
              <w:pStyle w:val="Compact"/>
              <w:jc w:val="left"/>
            </w:pPr>
            <w:r>
              <w:t xml:space="preserve">Wellington, New Zealand</w:t>
            </w:r>
          </w:p>
        </w:tc>
      </w:tr>
      <w:tr>
        <w:tc>
          <w:tcPr/>
          <w:p>
            <w:pPr>
              <w:pStyle w:val="Compact"/>
              <w:jc w:val="left"/>
            </w:pPr>
            <w:r>
              <w:t xml:space="preserve">Practical Completion &amp; Handover</w:t>
            </w:r>
          </w:p>
        </w:tc>
        <w:tc>
          <w:tcPr/>
          <w:p>
            <w:pPr>
              <w:pStyle w:val="Compact"/>
              <w:jc w:val="left"/>
            </w:pPr>
            <w:r>
              <w:t xml:space="preserve">30 August 2026</w:t>
            </w:r>
          </w:p>
        </w:tc>
        <w:tc>
          <w:tcPr/>
          <w:p>
            <w:pPr>
              <w:pStyle w:val="Compact"/>
              <w:jc w:val="left"/>
            </w:pPr>
            <w:r>
              <w:t xml:space="preserve">Wellington, New Zealand</w:t>
            </w:r>
          </w:p>
        </w:tc>
      </w:tr>
    </w:tbl>
    <w:bookmarkEnd w:id="26"/>
    <w:bookmarkStart w:id="27" w:name="authorisation-acceptance"/>
    <w:p>
      <w:pPr>
        <w:pStyle w:val="Heading2"/>
      </w:pPr>
      <w:r>
        <w:t xml:space="preserve">7. Authorisation &amp; Acceptance</w:t>
      </w:r>
    </w:p>
    <w:p>
      <w:pPr>
        <w:pStyle w:val="FirstParagraph"/>
      </w:pPr>
      <w:r>
        <w:t xml:space="preserve">By signing below, both parties acknowledge and agree to all terms, conditions, and obligations set forth in this Purchase Order for Architect services in New Zealand Wellington. This document constitutes a binding agreement between the parties upon execution.</w:t>
      </w:r>
    </w:p>
    <w:bookmarkEnd w:id="27"/>
    <w:p>
      <w:pPr>
        <w:pStyle w:val="BodyText"/>
      </w:pPr>
      <w:r>
        <w:rPr>
          <w:bCs/>
          <w:b/>
        </w:rPr>
        <w:t xml:space="preserve">For and on behalf of Wellington Harbour Development Trust Ltd (Buyer):</w:t>
      </w:r>
    </w:p>
    <w:p>
      <w:pPr>
        <w:pStyle w:val="BodyText"/>
      </w:pPr>
      <w:r>
        <w:t xml:space="preserve">Name: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Te Whare Tāhū Architecture &amp; Design Studio (Architect / Supplier):</w:t>
      </w:r>
    </w:p>
    <w:p>
      <w:pPr>
        <w:pStyle w:val="BodyText"/>
      </w:pPr>
      <w:r>
        <w:t xml:space="preserve">Name:</w:t>
      </w:r>
      <w:r>
        <w:br/>
      </w:r>
      <w:r>
        <w:t xml:space="preserve">Title: Principal Architect, NZIA Registered</w:t>
      </w:r>
      <w:r>
        <w:br/>
      </w:r>
      <w:r>
        <w:t xml:space="preserve">Signature: _________________________</w:t>
      </w:r>
      <w:r>
        <w:br/>
      </w:r>
      <w:r>
        <w:t xml:space="preserve">Date: _________________________</w:t>
      </w:r>
    </w:p>
    <w:p>
      <w:pPr>
        <w:pStyle w:val="BodyText"/>
      </w:pPr>
      <w:r>
        <w:t xml:space="preserve">This Purchase Order (PO-WLG-2025-0487) was issued in Wellington, New Zealand. All references to "the Architect" pertain to the registered architectural firm Te Whare Tāhū Architecture &amp; Design Studio. This document is governed by New Zealand law and is subject to the jurisdiction of the District Court of Wellington. For queries regarding this Purchase Order, contact the Procurement Department at Wellington Harbour Development Trust Ltd, 128 Cuba Street, Wellington Central,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New Zealand Wellington</dc:title>
  <dc:creator/>
  <dc:language>en</dc:language>
  <cp:keywords/>
  <dcterms:created xsi:type="dcterms:W3CDTF">2026-10-10T01:59:29Z</dcterms:created>
  <dcterms:modified xsi:type="dcterms:W3CDTF">2026-10-10T01:59:29Z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