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Professional Architect Services — Lima, Peru</w:t>
      </w:r>
    </w:p>
    <w:p>
      <w:pPr>
        <w:pStyle w:val="BodyText"/>
      </w:pPr>
      <w:r>
        <w:t xml:space="preserve">PO No. LMA-2025-00472</w:t>
      </w:r>
    </w:p>
    <w:p>
      <w:pPr>
        <w:pStyle w:val="BodyText"/>
      </w:pPr>
      <w:r>
        <w:t xml:space="preserve">Date of Issue: June 12, 2025  | </w:t>
      </w:r>
      <w:r>
        <w:t xml:space="preserve"> </w:t>
      </w:r>
      <w:r>
        <w:t xml:space="preserve">ACTIVE</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Constructora Andina del Pacífico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1245, Of. 803, San Isidro, Lima, Peru</w:t>
      </w:r>
    </w:p>
    <w:p>
      <w:pPr>
        <w:pStyle w:val="BodyText"/>
      </w:pPr>
      <w:r>
        <w:rPr>
          <w:bCs/>
          <w:b/>
        </w:rPr>
        <w:t xml:space="preserve">Contact:</w:t>
      </w:r>
      <w:r>
        <w:t xml:space="preserve"> </w:t>
      </w:r>
      <w:r>
        <w:t xml:space="preserve">Ing. María Fernanda Quispe Rojas</w:t>
      </w:r>
    </w:p>
    <w:p>
      <w:pPr>
        <w:pStyle w:val="BodyText"/>
      </w:pPr>
      <w:r>
        <w:rPr>
          <w:bCs/>
          <w:b/>
        </w:rPr>
        <w:t xml:space="preserve">Email:</w:t>
      </w:r>
      <w:r>
        <w:t xml:space="preserve"> </w:t>
      </w:r>
      <w:r>
        <w:t xml:space="preserve">compras@andina-pacifico.pe</w:t>
      </w:r>
    </w:p>
    <w:p>
      <w:pPr>
        <w:pStyle w:val="BodyText"/>
      </w:pPr>
      <w:r>
        <w:rPr>
          <w:bCs/>
          <w:b/>
        </w:rPr>
        <w:t xml:space="preserve">Phone:</w:t>
      </w:r>
      <w:r>
        <w:t xml:space="preserve"> </w:t>
      </w:r>
      <w:r>
        <w:t xml:space="preserve">+51 1 445-6789</w:t>
      </w:r>
    </w:p>
    <w:bookmarkEnd w:id="21"/>
    <w:bookmarkStart w:id="22" w:name="service-provider-seller"/>
    <w:p>
      <w:pPr>
        <w:pStyle w:val="Heading3"/>
      </w:pPr>
      <w:r>
        <w:t xml:space="preserve">Service Provider (Seller)</w:t>
      </w:r>
    </w:p>
    <w:p>
      <w:pPr>
        <w:pStyle w:val="FirstParagraph"/>
      </w:pPr>
      <w:r>
        <w:rPr>
          <w:bCs/>
          <w:b/>
        </w:rPr>
        <w:t xml:space="preserve">Architect:</w:t>
      </w:r>
      <w:r>
        <w:t xml:space="preserve"> </w:t>
      </w:r>
      <w:r>
        <w:t xml:space="preserve">Arq. Ricardo Alejandro Mendoza Salazar</w:t>
      </w:r>
    </w:p>
    <w:p>
      <w:pPr>
        <w:pStyle w:val="BodyText"/>
      </w:pPr>
      <w:r>
        <w:rPr>
          <w:bCs/>
          <w:b/>
        </w:rPr>
        <w:t xml:space="preserve">Professional License:</w:t>
      </w:r>
      <w:r>
        <w:t xml:space="preserve"> </w:t>
      </w:r>
      <w:r>
        <w:t xml:space="preserve">CIP N° 18452 (Colegio de Arquitectos del Perú)</w:t>
      </w:r>
    </w:p>
    <w:p>
      <w:pPr>
        <w:pStyle w:val="BodyText"/>
      </w:pPr>
      <w:r>
        <w:rPr>
          <w:bCs/>
          <w:b/>
        </w:rPr>
        <w:t xml:space="preserve">RUC:</w:t>
      </w:r>
      <w:r>
        <w:t xml:space="preserve"> </w:t>
      </w:r>
      <w:r>
        <w:t xml:space="preserve">10456789012</w:t>
      </w:r>
    </w:p>
    <w:p>
      <w:pPr>
        <w:pStyle w:val="BodyText"/>
      </w:pPr>
      <w:r>
        <w:rPr>
          <w:bCs/>
          <w:b/>
        </w:rPr>
        <w:t xml:space="preserve">Address:</w:t>
      </w:r>
      <w:r>
        <w:t xml:space="preserve"> </w:t>
      </w:r>
      <w:r>
        <w:t xml:space="preserve">Jr. Puno 387, Dpto. 502, Miraflores, Lima, Peru</w:t>
      </w:r>
    </w:p>
    <w:p>
      <w:pPr>
        <w:pStyle w:val="BodyText"/>
      </w:pPr>
      <w:r>
        <w:rPr>
          <w:bCs/>
          <w:b/>
        </w:rPr>
        <w:t xml:space="preserve">Email:</w:t>
      </w:r>
      <w:r>
        <w:t xml:space="preserve"> </w:t>
      </w:r>
      <w:r>
        <w:t xml:space="preserve">r.mendoza@arquitecturalima.pe</w:t>
      </w:r>
    </w:p>
    <w:p>
      <w:pPr>
        <w:pStyle w:val="BodyText"/>
      </w:pPr>
      <w:r>
        <w:rPr>
          <w:bCs/>
          <w:b/>
        </w:rPr>
        <w:t xml:space="preserve">Phone:</w:t>
      </w:r>
      <w:r>
        <w:t xml:space="preserve"> </w:t>
      </w:r>
      <w:r>
        <w:t xml:space="preserve">+51 987-654-321</w:t>
      </w:r>
    </w:p>
    <w:bookmarkEnd w:id="22"/>
    <w:p>
      <w:pPr>
        <w:pStyle w:val="BodyText"/>
      </w:pPr>
      <w:r>
        <w:t xml:space="preserve">This</w:t>
      </w:r>
      <w:r>
        <w:t xml:space="preserve"> </w:t>
      </w:r>
      <w:r>
        <w:rPr>
          <w:bCs/>
          <w:b/>
        </w:rPr>
        <w:t xml:space="preserve">Purchase Order</w:t>
      </w:r>
      <w:r>
        <w:t xml:space="preserve"> </w:t>
      </w:r>
      <w:r>
        <w:t xml:space="preserve">is issued by Constructora Andina del Pacífico S.A.C. to formally engage the services of the above-named</w:t>
      </w:r>
      <w:r>
        <w:t xml:space="preserve"> </w:t>
      </w:r>
      <w:r>
        <w:rPr>
          <w:bCs/>
          <w:b/>
        </w:rPr>
        <w:t xml:space="preserve">Architect</w:t>
      </w:r>
      <w:r>
        <w:t xml:space="preserve"> </w:t>
      </w:r>
      <w:r>
        <w:t xml:space="preserve">for the design, planning, and technical oversight of the residential development project "Residencial Costa Verde" located in the district of Miraflores,</w:t>
      </w:r>
      <w:r>
        <w:t xml:space="preserve"> </w:t>
      </w:r>
      <w:r>
        <w:rPr>
          <w:bCs/>
          <w:b/>
        </w:rPr>
        <w:t xml:space="preserve">Peru Lima</w:t>
      </w:r>
      <w:r>
        <w:t xml:space="preserve">. This document constitutes a binding agreement between both parties and shall be governed by the commercial laws of the Republic of Peru, including the Civil Code and applicable regulations from the Ministry of Housing, Construction and Sanitation (MINVU).</w:t>
      </w:r>
    </w:p>
    <w:p>
      <w:pPr>
        <w:pStyle w:val="BodyText"/>
      </w:pPr>
      <w:r>
        <w:t xml:space="preserve">Line Items — Scope of Architect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Architectural concept design and feasibility study for the 12-story residential tower in Miraflores, Peru Lima</w:t>
            </w:r>
          </w:p>
        </w:tc>
        <w:tc>
          <w:tcPr/>
          <w:p>
            <w:pPr>
              <w:pStyle w:val="Compact"/>
              <w:jc w:val="left"/>
            </w:pPr>
            <w:r>
              <w:t xml:space="preserve">Concept drawings, site analysis report</w:t>
            </w:r>
          </w:p>
        </w:tc>
        <w:tc>
          <w:tcPr/>
          <w:p>
            <w:pPr>
              <w:pStyle w:val="Compact"/>
              <w:jc w:val="left"/>
            </w:pPr>
            <w:r>
              <w:t xml:space="preserve">30 days</w:t>
            </w:r>
          </w:p>
        </w:tc>
        <w:tc>
          <w:tcPr/>
          <w:p>
            <w:pPr>
              <w:pStyle w:val="Compact"/>
              <w:jc w:val="left"/>
            </w:pPr>
            <w:r>
              <w:t xml:space="preserve">Fixed fee</w:t>
            </w:r>
          </w:p>
        </w:tc>
        <w:tc>
          <w:tcPr/>
          <w:p>
            <w:pPr>
              <w:pStyle w:val="Compact"/>
              <w:jc w:val="left"/>
            </w:pPr>
            <w:r>
              <w:t xml:space="preserve">S/ 45,000.00</w:t>
            </w:r>
          </w:p>
        </w:tc>
      </w:tr>
      <w:tr>
        <w:tc>
          <w:tcPr/>
          <w:p>
            <w:pPr>
              <w:pStyle w:val="Compact"/>
              <w:jc w:val="left"/>
            </w:pPr>
            <w:r>
              <w:t xml:space="preserve">2</w:t>
            </w:r>
          </w:p>
        </w:tc>
        <w:tc>
          <w:tcPr/>
          <w:p>
            <w:pPr>
              <w:pStyle w:val="Compact"/>
              <w:jc w:val="left"/>
            </w:pPr>
            <w:r>
              <w:t xml:space="preserve">Detailed architectural design including floor plans, elevations, sections, and 3D renderings compliant with Lima municipal building codes</w:t>
            </w:r>
          </w:p>
        </w:tc>
        <w:tc>
          <w:tcPr/>
          <w:p>
            <w:pPr>
              <w:pStyle w:val="Compact"/>
              <w:jc w:val="left"/>
            </w:pPr>
            <w:r>
              <w:t xml:space="preserve">Full design package (DWG, PDF, BIM)</w:t>
            </w:r>
          </w:p>
        </w:tc>
        <w:tc>
          <w:tcPr/>
          <w:p>
            <w:pPr>
              <w:pStyle w:val="Compact"/>
              <w:jc w:val="left"/>
            </w:pPr>
            <w:r>
              <w:t xml:space="preserve">60 days</w:t>
            </w:r>
          </w:p>
        </w:tc>
        <w:tc>
          <w:tcPr/>
          <w:p>
            <w:pPr>
              <w:pStyle w:val="Compact"/>
              <w:jc w:val="left"/>
            </w:pPr>
            <w:r>
              <w:t xml:space="preserve">Fixed fee</w:t>
            </w:r>
          </w:p>
        </w:tc>
        <w:tc>
          <w:tcPr/>
          <w:p>
            <w:pPr>
              <w:pStyle w:val="Compact"/>
              <w:jc w:val="left"/>
            </w:pPr>
            <w:r>
              <w:t xml:space="preserve">S/ 120,000.00</w:t>
            </w:r>
          </w:p>
        </w:tc>
      </w:tr>
      <w:tr>
        <w:tc>
          <w:tcPr/>
          <w:p>
            <w:pPr>
              <w:pStyle w:val="Compact"/>
              <w:jc w:val="left"/>
            </w:pPr>
            <w:r>
              <w:t xml:space="preserve">3</w:t>
            </w:r>
          </w:p>
        </w:tc>
        <w:tc>
          <w:tcPr/>
          <w:p>
            <w:pPr>
              <w:pStyle w:val="Compact"/>
              <w:jc w:val="left"/>
            </w:pPr>
            <w:r>
              <w:t xml:space="preserve">Structural coordination and MEP (Mechanical, Electrical, Plumbing) integration with the Architect's design intent</w:t>
            </w:r>
          </w:p>
        </w:tc>
        <w:tc>
          <w:tcPr/>
          <w:p>
            <w:pPr>
              <w:pStyle w:val="Compact"/>
              <w:jc w:val="left"/>
            </w:pPr>
            <w:r>
              <w:t xml:space="preserve">Coordinated technical drawings</w:t>
            </w:r>
          </w:p>
        </w:tc>
        <w:tc>
          <w:tcPr/>
          <w:p>
            <w:pPr>
              <w:pStyle w:val="Compact"/>
              <w:jc w:val="left"/>
            </w:pPr>
            <w:r>
              <w:t xml:space="preserve">45 days</w:t>
            </w:r>
          </w:p>
        </w:tc>
        <w:tc>
          <w:tcPr/>
          <w:p>
            <w:pPr>
              <w:pStyle w:val="Compact"/>
              <w:jc w:val="left"/>
            </w:pPr>
            <w:r>
              <w:t xml:space="preserve">Fixed fee</w:t>
            </w:r>
          </w:p>
        </w:tc>
        <w:tc>
          <w:tcPr/>
          <w:p>
            <w:pPr>
              <w:pStyle w:val="Compact"/>
              <w:jc w:val="left"/>
            </w:pPr>
            <w:r>
              <w:t xml:space="preserve">S/ 65,000.00</w:t>
            </w:r>
          </w:p>
        </w:tc>
      </w:tr>
      <w:tr>
        <w:tc>
          <w:tcPr/>
          <w:p>
            <w:pPr>
              <w:pStyle w:val="Compact"/>
              <w:jc w:val="left"/>
            </w:pPr>
            <w:r>
              <w:t xml:space="preserve">4</w:t>
            </w:r>
          </w:p>
        </w:tc>
        <w:tc>
          <w:tcPr/>
          <w:p>
            <w:pPr>
              <w:pStyle w:val="Compact"/>
              <w:jc w:val="left"/>
            </w:pPr>
            <w:r>
              <w:t xml:space="preserve">Permit application preparation and submission to the Municipalidad Metropolitana de Lima, including all required technical documentation</w:t>
            </w:r>
          </w:p>
        </w:tc>
        <w:tc>
          <w:tcPr/>
          <w:p>
            <w:pPr>
              <w:pStyle w:val="Compact"/>
              <w:jc w:val="left"/>
            </w:pPr>
            <w:r>
              <w:t xml:space="preserve">Permit application dossier</w:t>
            </w:r>
          </w:p>
        </w:tc>
        <w:tc>
          <w:tcPr/>
          <w:p>
            <w:pPr>
              <w:pStyle w:val="Compact"/>
              <w:jc w:val="left"/>
            </w:pPr>
            <w:r>
              <w:t xml:space="preserve">20 days</w:t>
            </w:r>
          </w:p>
        </w:tc>
        <w:tc>
          <w:tcPr/>
          <w:p>
            <w:pPr>
              <w:pStyle w:val="Compact"/>
              <w:jc w:val="left"/>
            </w:pPr>
            <w:r>
              <w:t xml:space="preserve">Fixed fee</w:t>
            </w:r>
          </w:p>
        </w:tc>
        <w:tc>
          <w:tcPr/>
          <w:p>
            <w:pPr>
              <w:pStyle w:val="Compact"/>
              <w:jc w:val="left"/>
            </w:pPr>
            <w:r>
              <w:t xml:space="preserve">S/ 18,500.00</w:t>
            </w:r>
          </w:p>
        </w:tc>
      </w:tr>
      <w:tr>
        <w:tc>
          <w:tcPr/>
          <w:p>
            <w:pPr>
              <w:pStyle w:val="Compact"/>
              <w:jc w:val="left"/>
            </w:pPr>
            <w:r>
              <w:t xml:space="preserve">5</w:t>
            </w:r>
          </w:p>
        </w:tc>
        <w:tc>
          <w:tcPr/>
          <w:p>
            <w:pPr>
              <w:pStyle w:val="Compact"/>
              <w:jc w:val="left"/>
            </w:pPr>
            <w:r>
              <w:t xml:space="preserve">Construction phase supervision and site visits (minimum 2 visits per week) to ensure compliance with the Architect's approved plans</w:t>
            </w:r>
          </w:p>
        </w:tc>
        <w:tc>
          <w:tcPr/>
          <w:p>
            <w:pPr>
              <w:pStyle w:val="Compact"/>
              <w:jc w:val="left"/>
            </w:pPr>
            <w:r>
              <w:t xml:space="preserve">Weekly supervision reports</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S/ 22,000.00/mo</w:t>
            </w:r>
          </w:p>
        </w:tc>
      </w:tr>
      <w:tr>
        <w:tc>
          <w:tcPr/>
          <w:p>
            <w:pPr>
              <w:pStyle w:val="Compact"/>
              <w:jc w:val="left"/>
            </w:pPr>
            <w:r>
              <w:t xml:space="preserve">6</w:t>
            </w:r>
          </w:p>
        </w:tc>
        <w:tc>
          <w:tcPr/>
          <w:p>
            <w:pPr>
              <w:pStyle w:val="Compact"/>
              <w:jc w:val="left"/>
            </w:pPr>
            <w:r>
              <w:t xml:space="preserve">Final as-built documentation and handover package for the completed project in Peru Lima</w:t>
            </w:r>
          </w:p>
        </w:tc>
        <w:tc>
          <w:tcPr/>
          <w:p>
            <w:pPr>
              <w:pStyle w:val="Compact"/>
              <w:jc w:val="left"/>
            </w:pPr>
            <w:r>
              <w:t xml:space="preserve">As-built drawings, O&amp;M manuals</w:t>
            </w:r>
          </w:p>
        </w:tc>
        <w:tc>
          <w:tcPr/>
          <w:p>
            <w:pPr>
              <w:pStyle w:val="Compact"/>
              <w:jc w:val="left"/>
            </w:pPr>
            <w:r>
              <w:t xml:space="preserve">30 days</w:t>
            </w:r>
          </w:p>
        </w:tc>
        <w:tc>
          <w:tcPr/>
          <w:p>
            <w:pPr>
              <w:pStyle w:val="Compact"/>
              <w:jc w:val="left"/>
            </w:pPr>
            <w:r>
              <w:t xml:space="preserve">Fixed fee</w:t>
            </w:r>
          </w:p>
        </w:tc>
        <w:tc>
          <w:tcPr/>
          <w:p>
            <w:pPr>
              <w:pStyle w:val="Compact"/>
              <w:jc w:val="left"/>
            </w:pPr>
            <w:r>
              <w:t xml:space="preserve">S/ 25,000.00</w:t>
            </w:r>
          </w:p>
        </w:tc>
      </w:tr>
      <w:tr>
        <w:tc>
          <w:tcPr>
            <w:gridSpan w:val="5"/>
          </w:tcPr>
          <w:p>
            <w:pPr>
              <w:pStyle w:val="Compact"/>
              <w:jc w:val="right"/>
            </w:pPr>
            <w:r>
              <w:t xml:space="preserve">TOTAL CONTRACT VALUE (excluding IGV 18%):</w:t>
            </w:r>
          </w:p>
        </w:tc>
        <w:tc>
          <w:tcPr/>
          <w:p>
            <w:pPr>
              <w:pStyle w:val="Compact"/>
              <w:jc w:val="left"/>
            </w:pPr>
            <w:r>
              <w:t xml:space="preserve">S/ 544,500.00</w:t>
            </w:r>
          </w:p>
        </w:tc>
      </w:tr>
      <w:tr>
        <w:tc>
          <w:tcPr>
            <w:gridSpan w:val="5"/>
          </w:tcPr>
          <w:p>
            <w:pPr>
              <w:pStyle w:val="Compact"/>
              <w:jc w:val="right"/>
            </w:pPr>
            <w:r>
              <w:t xml:space="preserve">IGV (18%):</w:t>
            </w:r>
          </w:p>
        </w:tc>
        <w:tc>
          <w:tcPr/>
          <w:p>
            <w:pPr>
              <w:pStyle w:val="Compact"/>
              <w:jc w:val="left"/>
            </w:pPr>
            <w:r>
              <w:t xml:space="preserve">S/ 98,010.00</w:t>
            </w:r>
          </w:p>
        </w:tc>
      </w:tr>
      <w:tr>
        <w:tc>
          <w:tcPr>
            <w:gridSpan w:val="5"/>
          </w:tcPr>
          <w:p>
            <w:pPr>
              <w:pStyle w:val="Compact"/>
              <w:jc w:val="right"/>
            </w:pPr>
            <w:r>
              <w:t xml:space="preserve">GRAND TOTAL (including IGV):</w:t>
            </w:r>
          </w:p>
        </w:tc>
        <w:tc>
          <w:tcPr/>
          <w:p>
            <w:pPr>
              <w:pStyle w:val="Compact"/>
              <w:jc w:val="left"/>
            </w:pPr>
            <w:r>
              <w:t xml:space="preserve">S/ 642,510.00</w:t>
            </w:r>
          </w:p>
        </w:tc>
      </w:tr>
    </w:tbl>
    <w:p>
      <w:pPr>
        <w:pStyle w:val="BodyText"/>
      </w:pPr>
      <w:r>
        <w:t xml:space="preserve">Payment Terms</w:t>
      </w:r>
    </w:p>
    <w:p>
      <w:pPr>
        <w:numPr>
          <w:ilvl w:val="0"/>
          <w:numId w:val="1001"/>
        </w:numPr>
        <w:pStyle w:val="Compact"/>
      </w:pPr>
      <w:r>
        <w:t xml:space="preserve">Payment shall be made in Peruvian Soles (PEN) via bank transfer to the Architect's designated account at Banco de Crédito del Perú (BCP), CCI: 002-123-45678-901234-56.</w:t>
      </w:r>
    </w:p>
    <w:p>
      <w:pPr>
        <w:numPr>
          <w:ilvl w:val="0"/>
          <w:numId w:val="1001"/>
        </w:numPr>
        <w:pStyle w:val="Compact"/>
      </w:pPr>
      <w:r>
        <w:t xml:space="preserve">30% advance payment upon execution of this Purchase Order, to be disbursed within 5 business days of the signing date.</w:t>
      </w:r>
    </w:p>
    <w:p>
      <w:pPr>
        <w:numPr>
          <w:ilvl w:val="0"/>
          <w:numId w:val="1001"/>
        </w:numPr>
        <w:pStyle w:val="Compact"/>
      </w:pPr>
      <w:r>
        <w:t xml:space="preserve">40% milestone payment upon delivery and approval of the detailed architectural design package (Line Item 2).</w:t>
      </w:r>
    </w:p>
    <w:p>
      <w:pPr>
        <w:numPr>
          <w:ilvl w:val="0"/>
          <w:numId w:val="1001"/>
        </w:numPr>
        <w:pStyle w:val="Compact"/>
      </w:pPr>
      <w:r>
        <w:t xml:space="preserve">10% payment upon successful submission of the building permit application to the Municipalidad Metropolitana de Lima.</w:t>
      </w:r>
    </w:p>
    <w:p>
      <w:pPr>
        <w:numPr>
          <w:ilvl w:val="0"/>
          <w:numId w:val="1001"/>
        </w:numPr>
        <w:pStyle w:val="Compact"/>
      </w:pPr>
      <w:r>
        <w:t xml:space="preserve">20% final payment upon delivery of the as-built documentation and project handover.</w:t>
      </w:r>
    </w:p>
    <w:p>
      <w:pPr>
        <w:numPr>
          <w:ilvl w:val="0"/>
          <w:numId w:val="1001"/>
        </w:numPr>
        <w:pStyle w:val="Compact"/>
      </w:pPr>
      <w:r>
        <w:t xml:space="preserve">Monthly supervision fees (Line Item 5) shall be invoiced on the 1st of each month and paid within 15 calendar days of invoice receipt.</w:t>
      </w:r>
    </w:p>
    <w:p>
      <w:pPr>
        <w:numPr>
          <w:ilvl w:val="0"/>
          <w:numId w:val="1001"/>
        </w:numPr>
        <w:pStyle w:val="Compact"/>
      </w:pPr>
      <w:r>
        <w:t xml:space="preserve">All payments are subject to the Architect providing a valid electronic invoice (factura electrónica) compliant with SUNAFIL and SUNAT regulations in Peru.</w:t>
      </w:r>
    </w:p>
    <w:p>
      <w:pPr>
        <w:pStyle w:val="FirstParagraph"/>
      </w:pPr>
      <w:r>
        <w:t xml:space="preserve">Terms and Conditions</w:t>
      </w:r>
    </w:p>
    <w:p>
      <w:pPr>
        <w:numPr>
          <w:ilvl w:val="0"/>
          <w:numId w:val="1002"/>
        </w:numPr>
        <w:pStyle w:val="Compact"/>
      </w:pPr>
      <w:r>
        <w:rPr>
          <w:bCs/>
          <w:b/>
        </w:rPr>
        <w:t xml:space="preserve">Professional Liability:</w:t>
      </w:r>
      <w:r>
        <w:t xml:space="preserve"> </w:t>
      </w:r>
      <w:r>
        <w:t xml:space="preserve">The Architect warrants that all design work shall comply with the current National Building Regulations (Reglamento Nacional de Edificaciones - RNE) of Peru and the specific urban planning norms of the Lima Metropolitan Municipality. The Architect shall carry professional liability insurance with a minimum coverage of S/ 1,000,000.00 for the duration of the project.</w:t>
      </w:r>
    </w:p>
    <w:p>
      <w:pPr>
        <w:numPr>
          <w:ilvl w:val="0"/>
          <w:numId w:val="1002"/>
        </w:numPr>
        <w:pStyle w:val="Compact"/>
      </w:pPr>
      <w:r>
        <w:rPr>
          <w:bCs/>
          <w:b/>
        </w:rPr>
        <w:t xml:space="preserve">Intellectual Property:</w:t>
      </w:r>
      <w:r>
        <w:t xml:space="preserve"> </w:t>
      </w:r>
      <w:r>
        <w:t xml:space="preserve">Upon full payment, all architectural drawings, BIM models, and design documents produced under this Purchase Order shall become the exclusive property of Constructora Andina del Pacífico S.A.C. The Architect retains the right to reference the project in a professional portfolio with prior written consent.</w:t>
      </w:r>
    </w:p>
    <w:p>
      <w:pPr>
        <w:numPr>
          <w:ilvl w:val="0"/>
          <w:numId w:val="1002"/>
        </w:numPr>
        <w:pStyle w:val="Compact"/>
      </w:pPr>
      <w:r>
        <w:rPr>
          <w:bCs/>
          <w:b/>
        </w:rPr>
        <w:t xml:space="preserve">Confidentiality:</w:t>
      </w:r>
      <w:r>
        <w:t xml:space="preserve"> </w:t>
      </w:r>
      <w:r>
        <w:t xml:space="preserve">Both parties agree to maintain strict confidentiality regarding project details, financial terms, and proprietary information. This obligation survives the termination of this Purchase Order for a period of three (3) years.</w:t>
      </w:r>
    </w:p>
    <w:p>
      <w:pPr>
        <w:numPr>
          <w:ilvl w:val="0"/>
          <w:numId w:val="1002"/>
        </w:numPr>
        <w:pStyle w:val="Compact"/>
      </w:pPr>
      <w:r>
        <w:rPr>
          <w:bCs/>
          <w:b/>
        </w:rPr>
        <w:t xml:space="preserve">Revisions:</w:t>
      </w:r>
      <w:r>
        <w:t xml:space="preserve"> </w:t>
      </w:r>
      <w:r>
        <w:t xml:space="preserve">The Architect shall include up to three (3) rounds of design revisions at no additional cost. Additional revisions beyond this limit shall be billed at S/ 1,200.00 per hour.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work completed and materials procured up to the date of termination.</w:t>
      </w:r>
    </w:p>
    <w:p>
      <w:pPr>
        <w:numPr>
          <w:ilvl w:val="0"/>
          <w:numId w:val="1002"/>
        </w:numPr>
        <w:pStyle w:val="Compact"/>
      </w:pPr>
      <w:r>
        <w:rPr>
          <w:bCs/>
          <w:b/>
        </w:rPr>
        <w:t xml:space="preserve">Dispute Resolution:</w:t>
      </w:r>
      <w:r>
        <w:t xml:space="preserve"> </w:t>
      </w:r>
      <w:r>
        <w:t xml:space="preserve">Any dispute arising from this Purchase Order shall first be subject to mediation. If unresolved within 30 days, the matter shall be referred to the competent courts of Lima, Peru, or to arbitration under the rules of the Lima Chamber of Commerce, at the option of the Purchasing Entity.</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public health emergencies affecting the city of Lima, Peru.</w:t>
      </w:r>
    </w:p>
    <w:p>
      <w:pPr>
        <w:numPr>
          <w:ilvl w:val="0"/>
          <w:numId w:val="1002"/>
        </w:numPr>
        <w:pStyle w:val="Compact"/>
      </w:pPr>
      <w:r>
        <w:rPr>
          <w:bCs/>
          <w:b/>
        </w:rPr>
        <w:t xml:space="preserve">Applicable Law:</w:t>
      </w:r>
      <w:r>
        <w:t xml:space="preserve"> </w:t>
      </w:r>
      <w:r>
        <w:t xml:space="preserve">This Purchase Order is governed by and shall be interpreted in accordance with the laws of the Republic of Peru, including the Civil Code, the Commercial Code, and regulations issued by the Ministry of Housing, Construction and Sanitation.</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engagement of the Architect for the Residencial Costa Verde project in Peru Lima.</w:t>
      </w:r>
    </w:p>
    <w:p>
      <w:pPr>
        <w:pStyle w:val="BodyText"/>
      </w:pPr>
      <w:r>
        <w:rPr>
          <w:bCs/>
          <w:b/>
        </w:rPr>
        <w:t xml:space="preserve">Ing. María Fernanda Quispe Rojas</w:t>
      </w:r>
      <w:r>
        <w:br/>
      </w:r>
      <w:r>
        <w:t xml:space="preserve">Project Director</w:t>
      </w:r>
      <w:r>
        <w:br/>
      </w:r>
      <w:r>
        <w:t xml:space="preserve">Constructora Andina del Pacífico S.A.C.</w:t>
      </w:r>
      <w:r>
        <w:br/>
      </w:r>
      <w:r>
        <w:t xml:space="preserve">Date: _______________</w:t>
      </w:r>
    </w:p>
    <w:p>
      <w:pPr>
        <w:pStyle w:val="BodyText"/>
      </w:pPr>
      <w:r>
        <w:rPr>
          <w:bCs/>
          <w:b/>
        </w:rPr>
        <w:t xml:space="preserve">Arq. Ricardo Alejandro Mendoza Salazar</w:t>
      </w:r>
      <w:r>
        <w:br/>
      </w:r>
      <w:r>
        <w:t xml:space="preserve">Lead Architect</w:t>
      </w:r>
      <w:r>
        <w:br/>
      </w:r>
      <w:r>
        <w:t xml:space="preserve">CIP N° 18452</w:t>
      </w:r>
      <w:r>
        <w:br/>
      </w:r>
      <w:r>
        <w:t xml:space="preserve">Date: _______________</w:t>
      </w:r>
    </w:p>
    <w:p>
      <w:pPr>
        <w:pStyle w:val="BodyText"/>
      </w:pPr>
      <w:r>
        <w:t xml:space="preserve">This Purchase Order (PO No. LMA-2025-00472) was issued in Lima, Peru. It is valid for a period of 90 days from the date of issue. For any amendments or clarifications, please contact the Procurement Department of Constructora Andina del Pacífico S.A.C. at compras@andina-pacifico.pe. This document is generated in accordance with Peruvian commercial regulations and SUNAT electronic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Lima, Peru</dc:title>
  <dc:creator/>
  <dc:language>en</dc:language>
  <cp:keywords/>
  <dcterms:created xsi:type="dcterms:W3CDTF">2026-10-10T04:31:42Z</dcterms:created>
  <dcterms:modified xsi:type="dcterms:W3CDTF">2026-10-10T04:31:42Z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