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metropolitan-development-corp."/>
    <w:p>
      <w:pPr>
        <w:pStyle w:val="Heading1"/>
      </w:pPr>
      <w:r>
        <w:t xml:space="preserve">METROPOLITAN DEVELOPMENT CORP.</w:t>
      </w:r>
    </w:p>
    <w:p>
      <w:pPr>
        <w:pStyle w:val="FirstParagraph"/>
      </w:pPr>
      <w:r>
        <w:t xml:space="preserve">Unit 1802, The Podium Tower, 8885 Ayala Avenue, Makati City, Metro Manila, Philippines</w:t>
      </w:r>
    </w:p>
    <w:p>
      <w:pPr>
        <w:pStyle w:val="BodyText"/>
      </w:pPr>
      <w:r>
        <w:t xml:space="preserve">Tel: (+63) 2 8888-4521 | Email: procurement@metropolitandevcorp.ph</w:t>
      </w:r>
    </w:p>
    <w:p>
      <w:pPr>
        <w:pStyle w:val="BodyText"/>
      </w:pPr>
      <w:r>
        <w:t xml:space="preserve">DTI Registration No. CS2019-0456789 | BIR TIN: 000-123-456-000</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PO-2025-00347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Project Reference:</w:t>
      </w:r>
      <w:r>
        <w:t xml:space="preserve"> </w:t>
      </w:r>
      <w:r>
        <w:t xml:space="preserve">MDC-RES-2025-011</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Philippine Peso (PHP)</w:t>
      </w:r>
    </w:p>
    <w:bookmarkEnd w:id="21"/>
    <w:bookmarkStart w:id="22" w:name="architect-vendor-details"/>
    <w:p>
      <w:pPr>
        <w:pStyle w:val="Heading3"/>
      </w:pPr>
      <w:r>
        <w:t xml:space="preserve">Architect / Vendor Details</w:t>
      </w:r>
    </w:p>
    <w:p>
      <w:pPr>
        <w:pStyle w:val="FirstParagraph"/>
      </w:pPr>
      <w:r>
        <w:rPr>
          <w:bCs/>
          <w:b/>
        </w:rPr>
        <w:t xml:space="preserve">Architect Firm:</w:t>
      </w:r>
      <w:r>
        <w:t xml:space="preserve"> </w:t>
      </w:r>
      <w:r>
        <w:t xml:space="preserve">Reyes &amp; Associates Architectural Studio</w:t>
      </w:r>
    </w:p>
    <w:p>
      <w:pPr>
        <w:pStyle w:val="BodyText"/>
      </w:pPr>
      <w:r>
        <w:rPr>
          <w:bCs/>
          <w:b/>
        </w:rPr>
        <w:t xml:space="preserve">Licensed Architect:</w:t>
      </w:r>
      <w:r>
        <w:t xml:space="preserve"> </w:t>
      </w:r>
      <w:r>
        <w:t xml:space="preserve">Engr. Maria Clara Reyes, R.A.</w:t>
      </w:r>
    </w:p>
    <w:p>
      <w:pPr>
        <w:pStyle w:val="BodyText"/>
      </w:pPr>
      <w:r>
        <w:rPr>
          <w:bCs/>
          <w:b/>
        </w:rPr>
        <w:t xml:space="preserve">PRC License No.:</w:t>
      </w:r>
      <w:r>
        <w:t xml:space="preserve"> </w:t>
      </w:r>
      <w:r>
        <w:t xml:space="preserve">10234567</w:t>
      </w:r>
    </w:p>
    <w:p>
      <w:pPr>
        <w:pStyle w:val="BodyText"/>
      </w:pPr>
      <w:r>
        <w:rPr>
          <w:bCs/>
          <w:b/>
        </w:rPr>
        <w:t xml:space="preserve">Address:</w:t>
      </w:r>
      <w:r>
        <w:t xml:space="preserve"> </w:t>
      </w:r>
      <w:r>
        <w:t xml:space="preserve">456 Bonifacio Drive, BGC, Taguig City, Metro Manila, Philippines</w:t>
      </w:r>
    </w:p>
    <w:p>
      <w:pPr>
        <w:pStyle w:val="BodyText"/>
      </w:pPr>
      <w:r>
        <w:rPr>
          <w:bCs/>
          <w:b/>
        </w:rPr>
        <w:t xml:space="preserve">TIN:</w:t>
      </w:r>
      <w:r>
        <w:t xml:space="preserve"> </w:t>
      </w:r>
      <w:r>
        <w:t xml:space="preserve">234-567-890-000</w:t>
      </w:r>
    </w:p>
    <w:p>
      <w:pPr>
        <w:pStyle w:val="BodyText"/>
      </w:pPr>
      <w:r>
        <w:rPr>
          <w:bCs/>
          <w:b/>
        </w:rPr>
        <w:t xml:space="preserve">Contact:</w:t>
      </w:r>
      <w:r>
        <w:t xml:space="preserve"> </w:t>
      </w:r>
      <w:r>
        <w:t xml:space="preserve">(+63) 917 555-8823</w:t>
      </w:r>
    </w:p>
    <w:bookmarkEnd w:id="22"/>
    <w:p>
      <w:pPr>
        <w:pStyle w:val="BodyText"/>
      </w:pPr>
      <w:r>
        <w:t xml:space="preserve">Project Description</w:t>
      </w:r>
    </w:p>
    <w:p>
      <w:pPr>
        <w:pStyle w:val="BodyText"/>
      </w:pPr>
      <w:r>
        <w:t xml:space="preserve">This</w:t>
      </w:r>
      <w:r>
        <w:t xml:space="preserve"> </w:t>
      </w:r>
      <w:r>
        <w:t xml:space="preserve">Purchase Order</w:t>
      </w:r>
      <w:r>
        <w:t xml:space="preserve"> </w:t>
      </w:r>
      <w:r>
        <w:t xml:space="preserve">is issued by Metropolitan Development Corp. to engage the services of a licensed</w:t>
      </w:r>
      <w:r>
        <w:t xml:space="preserve"> </w:t>
      </w:r>
      <w:r>
        <w:t xml:space="preserve">Architect</w:t>
      </w:r>
      <w:r>
        <w:t xml:space="preserve"> </w:t>
      </w:r>
      <w:r>
        <w:t xml:space="preserve">for the design, planning, and architectural supervision of the "Manila Heights Residential Tower," a 28-story mixed-use residential and commercial building to be constructed at 1234 EDSA Corridor, Quezon City,</w:t>
      </w:r>
      <w:r>
        <w:t xml:space="preserve"> </w:t>
      </w:r>
      <w:r>
        <w:t xml:space="preserve">Philippines Manila</w:t>
      </w:r>
      <w:r>
        <w:t xml:space="preserve"> </w:t>
      </w:r>
      <w:r>
        <w:t xml:space="preserve">metropolitan area. The</w:t>
      </w:r>
      <w:r>
        <w:t xml:space="preserve"> </w:t>
      </w:r>
      <w:r>
        <w:t xml:space="preserve">Architect</w:t>
      </w:r>
      <w:r>
        <w:t xml:space="preserve"> </w:t>
      </w:r>
      <w:r>
        <w:t xml:space="preserve">shall be responsible for all architectural design deliverables, compliance with the National Building Code of the Philippines (PD 1096), the Fire Code of the Philippines (RA 6972), and all applicable local ordinances of the City of Quezon City and the National Capital Region (NCR) planning authorities. The scope of work encompasses the full lifecycle of architectural services from conceptual design through construction administration, ensuring that all plans and specifications meet the standards required by the Department of Public Works and Highways (DPWH), the Bureau of Fire Protection (BFP), and the local Building Official's Office in</w:t>
      </w:r>
      <w:r>
        <w:t xml:space="preserve"> </w:t>
      </w:r>
      <w:r>
        <w:t xml:space="preserve">Philippines Manila</w:t>
      </w:r>
      <w:r>
        <w:t xml:space="preserve">.</w:t>
      </w:r>
    </w:p>
    <w:p>
      <w:pPr>
        <w:pStyle w:val="BodyText"/>
      </w:pPr>
      <w:r>
        <w:t xml:space="preserve">Line Items and Scope of Work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Architect Services</w:t>
            </w:r>
          </w:p>
        </w:tc>
        <w:tc>
          <w:tcPr/>
          <w:p>
            <w:pPr>
              <w:pStyle w:val="Compact"/>
              <w:jc w:val="left"/>
            </w:pPr>
            <w:r>
              <w:t xml:space="preserve">Quantity / Phase</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Conceptual Design and Schematic Design Phase – Preparation of massing studies, site plans, preliminary floor plans, elevations, and 3D renderings for the 28-story residential tower in Philippines Manila.</w:t>
            </w:r>
          </w:p>
        </w:tc>
        <w:tc>
          <w:tcPr/>
          <w:p>
            <w:pPr>
              <w:pStyle w:val="Compact"/>
              <w:jc w:val="left"/>
            </w:pPr>
            <w:r>
              <w:t xml:space="preserve">1 Lot</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2</w:t>
            </w:r>
          </w:p>
        </w:tc>
        <w:tc>
          <w:tcPr/>
          <w:p>
            <w:pPr>
              <w:pStyle w:val="Compact"/>
              <w:jc w:val="left"/>
            </w:pPr>
            <w:r>
              <w:t xml:space="preserve">Design Development Phase – Detailed architectural drawings, material specifications, structural coordination, MEP coordination, and interior design concepts for all 28 floors plus podium and basement levels.</w:t>
            </w:r>
          </w:p>
        </w:tc>
        <w:tc>
          <w:tcPr/>
          <w:p>
            <w:pPr>
              <w:pStyle w:val="Compact"/>
              <w:jc w:val="left"/>
            </w:pPr>
            <w:r>
              <w:t xml:space="preserve">1 Lot</w:t>
            </w:r>
          </w:p>
        </w:tc>
        <w:tc>
          <w:tcPr/>
          <w:p>
            <w:pPr>
              <w:pStyle w:val="Compact"/>
              <w:jc w:val="left"/>
            </w:pPr>
            <w:r>
              <w:t xml:space="preserve">2,800,000.00</w:t>
            </w:r>
          </w:p>
        </w:tc>
        <w:tc>
          <w:tcPr/>
          <w:p>
            <w:pPr>
              <w:pStyle w:val="Compact"/>
              <w:jc w:val="left"/>
            </w:pPr>
            <w:r>
              <w:t xml:space="preserve">2,800,000.00</w:t>
            </w:r>
          </w:p>
        </w:tc>
      </w:tr>
      <w:tr>
        <w:tc>
          <w:tcPr/>
          <w:p>
            <w:pPr>
              <w:pStyle w:val="Compact"/>
              <w:jc w:val="left"/>
            </w:pPr>
            <w:r>
              <w:t xml:space="preserve">3</w:t>
            </w:r>
          </w:p>
        </w:tc>
        <w:tc>
          <w:tcPr/>
          <w:p>
            <w:pPr>
              <w:pStyle w:val="Compact"/>
              <w:jc w:val="left"/>
            </w:pPr>
            <w:r>
              <w:t xml:space="preserve">Construction Documents and Permitting – Full set of construction drawings, specifications, and bill of materials. Submission and follow-up with the City Building Office of Quezon City, BFP, and MMDA for building permits in Philippines Manila.</w:t>
            </w:r>
          </w:p>
        </w:tc>
        <w:tc>
          <w:tcPr/>
          <w:p>
            <w:pPr>
              <w:pStyle w:val="Compact"/>
              <w:jc w:val="left"/>
            </w:pPr>
            <w:r>
              <w:t xml:space="preserve">1 Lot</w:t>
            </w:r>
          </w:p>
        </w:tc>
        <w:tc>
          <w:tcPr/>
          <w:p>
            <w:pPr>
              <w:pStyle w:val="Compact"/>
              <w:jc w:val="left"/>
            </w:pPr>
            <w:r>
              <w:t xml:space="preserve">1,950,000.00</w:t>
            </w:r>
          </w:p>
        </w:tc>
        <w:tc>
          <w:tcPr/>
          <w:p>
            <w:pPr>
              <w:pStyle w:val="Compact"/>
              <w:jc w:val="left"/>
            </w:pPr>
            <w:r>
              <w:t xml:space="preserve">1,950,000.00</w:t>
            </w:r>
          </w:p>
        </w:tc>
      </w:tr>
      <w:tr>
        <w:tc>
          <w:tcPr/>
          <w:p>
            <w:pPr>
              <w:pStyle w:val="Compact"/>
              <w:jc w:val="left"/>
            </w:pPr>
            <w:r>
              <w:t xml:space="preserve">4</w:t>
            </w:r>
          </w:p>
        </w:tc>
        <w:tc>
          <w:tcPr/>
          <w:p>
            <w:pPr>
              <w:pStyle w:val="Compact"/>
              <w:jc w:val="left"/>
            </w:pPr>
            <w:r>
              <w:t xml:space="preserve">Bidding and Pre-Construction Support – Preparation of architectural bid documents, response to contractor queries, and assistance in the selection of the general contractor for the Philippines Manila project site.</w:t>
            </w:r>
          </w:p>
        </w:tc>
        <w:tc>
          <w:tcPr/>
          <w:p>
            <w:pPr>
              <w:pStyle w:val="Compact"/>
              <w:jc w:val="left"/>
            </w:pPr>
            <w:r>
              <w:t xml:space="preserve">1 Lot</w:t>
            </w:r>
          </w:p>
        </w:tc>
        <w:tc>
          <w:tcPr/>
          <w:p>
            <w:pPr>
              <w:pStyle w:val="Compact"/>
              <w:jc w:val="left"/>
            </w:pPr>
            <w:r>
              <w:t xml:space="preserve">750,000.00</w:t>
            </w:r>
          </w:p>
        </w:tc>
        <w:tc>
          <w:tcPr/>
          <w:p>
            <w:pPr>
              <w:pStyle w:val="Compact"/>
              <w:jc w:val="left"/>
            </w:pPr>
            <w:r>
              <w:t xml:space="preserve">750,000.00</w:t>
            </w:r>
          </w:p>
        </w:tc>
      </w:tr>
      <w:tr>
        <w:tc>
          <w:tcPr/>
          <w:p>
            <w:pPr>
              <w:pStyle w:val="Compact"/>
              <w:jc w:val="left"/>
            </w:pPr>
            <w:r>
              <w:t xml:space="preserve">5</w:t>
            </w:r>
          </w:p>
        </w:tc>
        <w:tc>
          <w:tcPr/>
          <w:p>
            <w:pPr>
              <w:pStyle w:val="Compact"/>
              <w:jc w:val="left"/>
            </w:pPr>
            <w:r>
              <w:t xml:space="preserve">Construction Administration and Site Supervision – Monthly site inspections, progress reports, review of shop drawings, RFIs, and as-built documentation for the duration of construction (estimated 30 months).</w:t>
            </w:r>
          </w:p>
        </w:tc>
        <w:tc>
          <w:tcPr/>
          <w:p>
            <w:pPr>
              <w:pStyle w:val="Compact"/>
              <w:jc w:val="left"/>
            </w:pPr>
            <w:r>
              <w:t xml:space="preserve">30 Months</w:t>
            </w:r>
          </w:p>
        </w:tc>
        <w:tc>
          <w:tcPr/>
          <w:p>
            <w:pPr>
              <w:pStyle w:val="Compact"/>
              <w:jc w:val="left"/>
            </w:pPr>
            <w:r>
              <w:t xml:space="preserve">450,000.00</w:t>
            </w:r>
          </w:p>
        </w:tc>
        <w:tc>
          <w:tcPr/>
          <w:p>
            <w:pPr>
              <w:pStyle w:val="Compact"/>
              <w:jc w:val="left"/>
            </w:pPr>
            <w:r>
              <w:t xml:space="preserve">13,500,000.00</w:t>
            </w:r>
          </w:p>
        </w:tc>
      </w:tr>
      <w:tr>
        <w:tc>
          <w:tcPr/>
          <w:p>
            <w:pPr>
              <w:pStyle w:val="Compact"/>
              <w:jc w:val="left"/>
            </w:pPr>
            <w:r>
              <w:t xml:space="preserve">6</w:t>
            </w:r>
          </w:p>
        </w:tc>
        <w:tc>
          <w:tcPr/>
          <w:p>
            <w:pPr>
              <w:pStyle w:val="Compact"/>
              <w:jc w:val="left"/>
            </w:pPr>
            <w:r>
              <w:t xml:space="preserve">Final Completion and Handover – Final as-built drawings, punch list resolution, certificate of completion, and coordination with the local government unit for Certificate of Occupancy in Philippines Manila.</w:t>
            </w:r>
          </w:p>
        </w:tc>
        <w:tc>
          <w:tcPr/>
          <w:p>
            <w:pPr>
              <w:pStyle w:val="Compact"/>
              <w:jc w:val="left"/>
            </w:pPr>
            <w:r>
              <w:t xml:space="preserve">1 Lot</w:t>
            </w:r>
          </w:p>
        </w:tc>
        <w:tc>
          <w:tcPr/>
          <w:p>
            <w:pPr>
              <w:pStyle w:val="Compact"/>
              <w:jc w:val="left"/>
            </w:pPr>
            <w:r>
              <w:t xml:space="preserve">600,000.00</w:t>
            </w:r>
          </w:p>
        </w:tc>
        <w:tc>
          <w:tcPr/>
          <w:p>
            <w:pPr>
              <w:pStyle w:val="Compact"/>
              <w:jc w:val="left"/>
            </w:pPr>
            <w:r>
              <w:t xml:space="preserve">600,000.00</w:t>
            </w:r>
          </w:p>
        </w:tc>
      </w:tr>
      <w:tr>
        <w:tc>
          <w:tcPr>
            <w:gridSpan w:val="4"/>
          </w:tcPr>
          <w:p>
            <w:pPr>
              <w:pStyle w:val="Compact"/>
              <w:jc w:val="right"/>
            </w:pPr>
            <w:r>
              <w:t xml:space="preserve">TOTAL AMOUNT (PHP):</w:t>
            </w:r>
          </w:p>
        </w:tc>
        <w:tc>
          <w:tcPr/>
          <w:p>
            <w:pPr>
              <w:pStyle w:val="Compact"/>
              <w:jc w:val="left"/>
            </w:pPr>
            <w:r>
              <w:t xml:space="preserve">20,850,000.00</w:t>
            </w:r>
          </w:p>
        </w:tc>
      </w:tr>
    </w:tbl>
    <w:p>
      <w:pPr>
        <w:pStyle w:val="BodyText"/>
      </w:pPr>
      <w:r>
        <w:t xml:space="preserve">Terms and Conditions</w:t>
      </w:r>
    </w:p>
    <w:p>
      <w:pPr>
        <w:pStyle w:val="BodyText"/>
      </w:pPr>
      <w:r>
        <w:rPr>
          <w:bCs/>
          <w:b/>
        </w:rPr>
        <w:t xml:space="preserve">1. Governing Law:</w:t>
      </w:r>
      <w:r>
        <w:t xml:space="preserve"> </w:t>
      </w:r>
      <w:r>
        <w:t xml:space="preserve">This Purchase Order shall be governed by and construed in accordance with the laws of the Republic of the Philippines. Any disputes arising from this Purchase Order shall be resolved through arbitration in Manila, Philippines, in accordance with the rules of the Philippine Dispute Resolution Center, Inc. (PDRCI).</w:t>
      </w:r>
    </w:p>
    <w:p>
      <w:pPr>
        <w:pStyle w:val="BodyText"/>
      </w:pPr>
      <w:r>
        <w:rPr>
          <w:bCs/>
          <w:b/>
        </w:rPr>
        <w:t xml:space="preserve">2. Architect's Qualifications:</w:t>
      </w:r>
      <w:r>
        <w:t xml:space="preserve"> </w:t>
      </w:r>
      <w:r>
        <w:t xml:space="preserve">The Architect engaged under this Purchase Order must hold a valid Professional Regulation Commission (PRC) license as a Registered Architect in the Philippines and must be a member in good standing of the Institute of Architects of the Philippines (IAP). The Architect shall maintain all necessary professional liability insurance throughout the project duration.</w:t>
      </w:r>
    </w:p>
    <w:p>
      <w:pPr>
        <w:pStyle w:val="BodyText"/>
      </w:pPr>
      <w:r>
        <w:rPr>
          <w:bCs/>
          <w:b/>
        </w:rPr>
        <w:t xml:space="preserve">3. Payment Schedule:</w:t>
      </w:r>
      <w:r>
        <w:t xml:space="preserve"> </w:t>
      </w:r>
      <w:r>
        <w:t xml:space="preserve">Payment shall be made in accordance with the following milestones: 20% upon execution of this Purchase Order, 25% upon completion of Design Development, 20% upon issuance of building permits, 25% in equal monthly installments during construction administration, and 10% upon final handover and Certificate of Occupancy. All payments shall be made via bank transfer to the Architect's designated account in the Philippines.</w:t>
      </w:r>
    </w:p>
    <w:p>
      <w:pPr>
        <w:pStyle w:val="BodyText"/>
      </w:pPr>
      <w:r>
        <w:rPr>
          <w:bCs/>
          <w:b/>
        </w:rPr>
        <w:t xml:space="preserve">4. Intellectual Property:</w:t>
      </w:r>
      <w:r>
        <w:t xml:space="preserve"> </w:t>
      </w:r>
      <w:r>
        <w:t xml:space="preserve">All architectural drawings, designs, models, and documents produced by the Architect under this Purchase Order shall become the exclusive property of Metropolitan Development Corp. upon full payment. The Architect retains the right to display the project in professional portfolios subject to the client's written consent.</w:t>
      </w:r>
    </w:p>
    <w:p>
      <w:pPr>
        <w:pStyle w:val="BodyText"/>
      </w:pPr>
      <w:r>
        <w:rPr>
          <w:bCs/>
          <w:b/>
        </w:rPr>
        <w:t xml:space="preserve">5. Compliance with Local Regulations:</w:t>
      </w:r>
      <w:r>
        <w:t xml:space="preserve"> </w:t>
      </w:r>
      <w:r>
        <w:t xml:space="preserve">The Architect shall ensure full compliance with all building codes, zoning ordinances, environmental regulations, and fire safety standards applicable in the Philippines Manila metropolitan area, including but not limited to the National Building Code of the Philippines, the Comprehensive Land Use Development Code of Quezon City, and the guidelines of the Metropolitan Manila Development Authority (MMDA).</w:t>
      </w:r>
    </w:p>
    <w:p>
      <w:pPr>
        <w:pStyle w:val="BodyText"/>
      </w:pPr>
      <w:r>
        <w:rPr>
          <w:bCs/>
          <w:b/>
        </w:rPr>
        <w:t xml:space="preserve">6. Cancellation and Termination:</w:t>
      </w:r>
      <w:r>
        <w:t xml:space="preserve"> </w:t>
      </w:r>
      <w:r>
        <w:t xml:space="preserve">Either party may terminate this Purchase Order with thirty (30) days written notice. In the event of termination, the Architect shall be compensated for all services rendered up to the date of termination, less any applicable deductions for incomplete deliverables.</w:t>
      </w:r>
    </w:p>
    <w:p>
      <w:pPr>
        <w:pStyle w:val="BodyText"/>
      </w:pPr>
      <w:r>
        <w:rPr>
          <w:bCs/>
          <w:b/>
        </w:rPr>
        <w:t xml:space="preserve">7. Taxes:</w:t>
      </w:r>
      <w:r>
        <w:t xml:space="preserve"> </w:t>
      </w:r>
      <w:r>
        <w:t xml:space="preserve">All amounts stated in this Purchase Order are inclusive of 12% Value Added Tax (VAT) as required by the Bureau of Internal Revenue (BIR) of the Philippines. The Architect shall issue official receipts for all payments received.</w:t>
      </w:r>
    </w:p>
    <w:p>
      <w:pPr>
        <w:pStyle w:val="BodyText"/>
      </w:pPr>
      <w:r>
        <w:rPr>
          <w:bCs/>
          <w:b/>
        </w:rPr>
        <w:t xml:space="preserve">8. Confidentiality:</w:t>
      </w:r>
      <w:r>
        <w:t xml:space="preserve"> </w:t>
      </w:r>
      <w:r>
        <w:t xml:space="preserve">The Architect agrees to maintain strict confidentiality regarding all project details, site information, and proprietary data related to this Philippines Manila development project. This obligation shall survive the termination of this Purchase Order for a period of five (5) years.</w:t>
      </w:r>
    </w:p>
    <w:p>
      <w:pPr>
        <w:pStyle w:val="BodyText"/>
      </w:pPr>
      <w:r>
        <w:t xml:space="preserve">Authorization and Acceptance</w:t>
      </w:r>
    </w:p>
    <w:p>
      <w:pPr>
        <w:pStyle w:val="BodyText"/>
      </w:pPr>
      <w:r>
        <w:rPr>
          <w:bCs/>
          <w:b/>
        </w:rPr>
        <w:t xml:space="preserve">Prepared by:</w:t>
      </w:r>
      <w:r>
        <w:br/>
      </w:r>
      <w:r>
        <w:t xml:space="preserve">Juan D. Santos</w:t>
      </w:r>
      <w:r>
        <w:br/>
      </w:r>
      <w:r>
        <w:t xml:space="preserve">Procurement Manager</w:t>
      </w:r>
      <w:r>
        <w:br/>
      </w:r>
      <w:r>
        <w:t xml:space="preserve">Metropolitan Development Corp.</w:t>
      </w:r>
      <w:r>
        <w:br/>
      </w:r>
      <w:r>
        <w:t xml:space="preserve">Date: ______________________</w:t>
      </w:r>
    </w:p>
    <w:p>
      <w:pPr>
        <w:pStyle w:val="BodyText"/>
      </w:pPr>
      <w:r>
        <w:rPr>
          <w:bCs/>
          <w:b/>
        </w:rPr>
        <w:t xml:space="preserve">Approved by:</w:t>
      </w:r>
      <w:r>
        <w:br/>
      </w:r>
      <w:r>
        <w:t xml:space="preserve">Alejandro M. Villanueva</w:t>
      </w:r>
      <w:r>
        <w:br/>
      </w:r>
      <w:r>
        <w:t xml:space="preserve">Chief Executive Officer</w:t>
      </w:r>
      <w:r>
        <w:br/>
      </w:r>
      <w:r>
        <w:t xml:space="preserve">Metropolitan Development Corp.</w:t>
      </w:r>
      <w:r>
        <w:br/>
      </w:r>
      <w:r>
        <w:t xml:space="preserve">Date: ______________________</w:t>
      </w:r>
    </w:p>
    <w:p>
      <w:pPr>
        <w:pStyle w:val="BodyText"/>
      </w:pPr>
      <w:r>
        <w:rPr>
          <w:bCs/>
          <w:b/>
        </w:rPr>
        <w:t xml:space="preserve">Accepted by (Architect):</w:t>
      </w:r>
      <w:r>
        <w:br/>
      </w:r>
      <w:r>
        <w:t xml:space="preserve">Engr. Maria Clara Reyes, R.A.</w:t>
      </w:r>
      <w:r>
        <w:br/>
      </w:r>
      <w:r>
        <w:t xml:space="preserve">Principal Architect</w:t>
      </w:r>
      <w:r>
        <w:br/>
      </w:r>
      <w:r>
        <w:t xml:space="preserve">Reyes &amp; Associates Architectural Studio</w:t>
      </w:r>
      <w:r>
        <w:br/>
      </w:r>
      <w:r>
        <w:t xml:space="preserve">Date: ______________________</w:t>
      </w:r>
    </w:p>
    <w:p>
      <w:pPr>
        <w:pStyle w:val="BodyText"/>
      </w:pPr>
      <w:r>
        <w:t xml:space="preserve">This Purchase Order (PO-2025-00347) is issued for Architect services in the Philippines Manila area. This document is valid for thirty (30) days from the date of issue. For inquiries, contact the Procurement Department of Metropolitan Development Corp. at procurement@metropolitandevcorp.ph or (+63) 2 8888-4521.</w:t>
      </w:r>
    </w:p>
    <w:p>
      <w:pPr>
        <w:pStyle w:val="BodyText"/>
      </w:pPr>
      <w:r>
        <w:t xml:space="preserve">Page 1 of 1 | Document ID: MDC-PO-2025-00347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Philippines Manila</dc:title>
  <dc:creator/>
  <dc:language>en</dc:language>
  <cp:keywords/>
  <dcterms:created xsi:type="dcterms:W3CDTF">2026-10-10T03:41:50Z</dcterms:created>
  <dcterms:modified xsi:type="dcterms:W3CDTF">2026-10-10T03:41:50Z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