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urchase-order"/>
    <w:p>
      <w:pPr>
        <w:pStyle w:val="Heading1"/>
      </w:pPr>
      <w:r>
        <w:t xml:space="preserve">Purchase Order</w:t>
      </w:r>
    </w:p>
    <w:p>
      <w:pPr>
        <w:pStyle w:val="FirstParagraph"/>
      </w:pPr>
      <w:r>
        <w:t xml:space="preserve">Architectural Design &amp; Consulting Services — Saint Petersburg, Russia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PO-RU-SPB-2025-04782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Issuing Entity:</w:t>
            </w:r>
          </w:p>
        </w:tc>
        <w:tc>
          <w:tcPr/>
          <w:p>
            <w:pPr>
              <w:pStyle w:val="Compact"/>
              <w:jc w:val="left"/>
            </w:pPr>
            <w:r>
              <w:t xml:space="preserve">Neva Capital Development Group LLC, 44 Voznesensky Prospekt, Saint Petersburg, 191011, Russian Federation</w:t>
            </w:r>
          </w:p>
        </w:tc>
      </w:tr>
      <w:tr>
        <w:tc>
          <w:tcPr/>
          <w:p>
            <w:pPr>
              <w:pStyle w:val="Compact"/>
              <w:jc w:val="left"/>
            </w:pPr>
            <w:r>
              <w:t xml:space="preserve">Architect / Vendor:</w:t>
            </w:r>
          </w:p>
        </w:tc>
        <w:tc>
          <w:tcPr/>
          <w:p>
            <w:pPr>
              <w:pStyle w:val="Compact"/>
              <w:jc w:val="left"/>
            </w:pPr>
            <w:r>
              <w:t xml:space="preserve">Studio Arkhitektura Severa, 12 Fontanka Embankment, Saint Petersburg, 191025, Russian Federation</w:t>
            </w:r>
          </w:p>
        </w:tc>
      </w:tr>
      <w:tr>
        <w:tc>
          <w:tcPr/>
          <w:p>
            <w:pPr>
              <w:pStyle w:val="Compact"/>
              <w:jc w:val="left"/>
            </w:pPr>
            <w:r>
              <w:t xml:space="preserve">Lead Architect:</w:t>
            </w:r>
          </w:p>
        </w:tc>
        <w:tc>
          <w:tcPr/>
          <w:p>
            <w:pPr>
              <w:pStyle w:val="Compact"/>
              <w:jc w:val="left"/>
            </w:pPr>
            <w:r>
              <w:t xml:space="preserve">Dr. Elena V. Morozova, State-Registered Architect of the Russian Federation (License No. 78-А-004521)</w:t>
            </w:r>
          </w:p>
        </w:tc>
      </w:tr>
      <w:tr>
        <w:tc>
          <w:tcPr/>
          <w:p>
            <w:pPr>
              <w:pStyle w:val="Compact"/>
              <w:jc w:val="left"/>
            </w:pPr>
            <w:r>
              <w:t xml:space="preserve">Project Location:</w:t>
            </w:r>
          </w:p>
        </w:tc>
        <w:tc>
          <w:tcPr/>
          <w:p>
            <w:pPr>
              <w:pStyle w:val="Compact"/>
              <w:jc w:val="left"/>
            </w:pPr>
            <w:r>
              <w:t xml:space="preserve">Historical Centre of Saint Petersburg, Vasilyevsky Island, Russian Federation</w:t>
            </w:r>
          </w:p>
        </w:tc>
      </w:tr>
      <w:tr>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Payment Terms:</w:t>
            </w:r>
          </w:p>
        </w:tc>
        <w:tc>
          <w:tcPr/>
          <w:p>
            <w:pPr>
              <w:pStyle w:val="Compact"/>
              <w:jc w:val="left"/>
            </w:pPr>
            <w:r>
              <w:t xml:space="preserve">Net 30 days from invoice acceptance</w:t>
            </w:r>
          </w:p>
        </w:tc>
      </w:tr>
      <w:tr>
        <w:tc>
          <w:tcPr/>
          <w:p>
            <w:pPr>
              <w:pStyle w:val="Compact"/>
              <w:jc w:val="left"/>
            </w:pPr>
            <w:r>
              <w:t xml:space="preserve">Validity of This Purchase Order:</w:t>
            </w:r>
          </w:p>
        </w:tc>
        <w:tc>
          <w:tcPr/>
          <w:p>
            <w:pPr>
              <w:pStyle w:val="Compact"/>
              <w:jc w:val="left"/>
            </w:pPr>
            <w:r>
              <w:t xml:space="preserve">90 calendar days from the date of issue</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Neva Capital Development Group LLC (hereinafter referred to as the "Client") to formally engage Studio Arkhitektura Severa (hereinafter referred to as the "Architect") for the provision of comprehensive architectural design, planning, and consulting services in the city of Saint Petersburg, Russian Federation. This Purchase Order constitutes a binding commercial agreement between the Client and the Architect and governs all terms, conditions, deliverables, and financial obligations associated with the engagement.</w:t>
      </w:r>
    </w:p>
    <w:p>
      <w:pPr>
        <w:pStyle w:val="BodyText"/>
      </w:pPr>
      <w:r>
        <w:t xml:space="preserve">The Architect shall be responsible for the full-cycle architectural development of a mixed-use residential and commercial complex situated on Vasilyevsky Island in Saint Petersburg. The project must comply with all applicable federal and municipal building codes of the Russian Federation, the urban planning regulations of the Saint Petersburg Committee for Architecture and Urban Planning, and the heritage preservation guidelines established for the Historical Centre of Saint Petersburg, a UNESCO World Heritage Site.</w:t>
      </w:r>
    </w:p>
    <w:bookmarkEnd w:id="21"/>
    <w:bookmarkStart w:id="22" w:name="description-of-architectural-services"/>
    <w:p>
      <w:pPr>
        <w:pStyle w:val="Heading2"/>
      </w:pPr>
      <w:r>
        <w:t xml:space="preserve">2. Description of Architectural Services</w:t>
      </w:r>
    </w:p>
    <w:p>
      <w:pPr>
        <w:pStyle w:val="FirstParagraph"/>
      </w:pPr>
      <w:r>
        <w:t xml:space="preserve">The Architect, under the authority of this Purchase Order, shall deliver the following scope of professional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Architect's Service</w:t>
            </w:r>
          </w:p>
        </w:tc>
        <w:tc>
          <w:tcPr/>
          <w:p>
            <w:pPr>
              <w:pStyle w:val="Compact"/>
              <w:jc w:val="left"/>
            </w:pPr>
            <w:r>
              <w:t xml:space="preserve">Deliverable</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Feasibility study and site analysis of the Vasilyevsky Island parcel, including geotechnical assessment and environmental impact review specific to Saint Petersburg's flood-prone geography.</w:t>
            </w:r>
          </w:p>
        </w:tc>
        <w:tc>
          <w:tcPr/>
          <w:p>
            <w:pPr>
              <w:pStyle w:val="Compact"/>
              <w:jc w:val="left"/>
            </w:pPr>
            <w:r>
              <w:t xml:space="preserve">Feasibility Report (PDF + hard copy)</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Conceptual architectural design, including massing studies, facade articulation in the neoclassical tradition of Saint Petersburg, and landscape integration with the Neva Riverfront.</w:t>
            </w:r>
          </w:p>
        </w:tc>
        <w:tc>
          <w:tcPr/>
          <w:p>
            <w:pPr>
              <w:pStyle w:val="Compact"/>
              <w:jc w:val="left"/>
            </w:pPr>
            <w:r>
              <w:t xml:space="preserve">Concept Design Package (3D renders, drawings)</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Detailed architectural working drawings, structural coordination, MEP (mechanical, electrical, plumbing) integration, and interior spatial planning for all 14 floors of the complex.</w:t>
            </w:r>
          </w:p>
        </w:tc>
        <w:tc>
          <w:tcPr/>
          <w:p>
            <w:pPr>
              <w:pStyle w:val="Compact"/>
              <w:jc w:val="left"/>
            </w:pPr>
            <w:r>
              <w:t xml:space="preserve">Full Working Drawing Set (DWG + PDF)</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Preparation and submission of all documentation to the Saint Petersburg State Construction Committee (Gosstroynadzor) for building permit acquisition.</w:t>
            </w:r>
          </w:p>
        </w:tc>
        <w:tc>
          <w:tcPr/>
          <w:p>
            <w:pPr>
              <w:pStyle w:val="Compact"/>
              <w:jc w:val="left"/>
            </w:pPr>
            <w:r>
              <w:t xml:space="preserve">Permit Application Dossier</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Construction-phase architectural supervision, site inspections (minimum bi-weekly), and quality assurance of the built work against the approved design.</w:t>
            </w:r>
          </w:p>
        </w:tc>
        <w:tc>
          <w:tcPr/>
          <w:p>
            <w:pPr>
              <w:pStyle w:val="Compact"/>
              <w:jc w:val="left"/>
            </w:pPr>
            <w:r>
              <w:t xml:space="preserve">Monthly Supervision Reports</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Final as-built documentation, commissioning support, and handover package to the Client upon project completion.</w:t>
            </w:r>
          </w:p>
        </w:tc>
        <w:tc>
          <w:tcPr/>
          <w:p>
            <w:pPr>
              <w:pStyle w:val="Compact"/>
              <w:jc w:val="left"/>
            </w:pPr>
            <w:r>
              <w:t xml:space="preserve">As-Built Documentation Set</w:t>
            </w:r>
          </w:p>
        </w:tc>
        <w:tc>
          <w:tcPr/>
          <w:p>
            <w:pPr>
              <w:pStyle w:val="Compact"/>
              <w:jc w:val="left"/>
            </w:pPr>
            <w:r>
              <w:t xml:space="preserve">350,000</w:t>
            </w:r>
          </w:p>
        </w:tc>
      </w:tr>
      <w:tr>
        <w:tc>
          <w:tcPr>
            <w:gridSpan w:val="3"/>
          </w:tcPr>
          <w:p>
            <w:pPr>
              <w:pStyle w:val="Compact"/>
              <w:jc w:val="left"/>
            </w:pPr>
            <w:r>
              <w:t xml:space="preserve">Total Purchase Order Value</w:t>
            </w:r>
          </w:p>
        </w:tc>
        <w:tc>
          <w:tcPr/>
          <w:p>
            <w:pPr>
              <w:pStyle w:val="Compact"/>
              <w:jc w:val="left"/>
            </w:pPr>
            <w:r>
              <w:t xml:space="preserve">6,900,000 RUB</w:t>
            </w:r>
          </w:p>
        </w:tc>
      </w:tr>
    </w:tbl>
    <w:bookmarkEnd w:id="22"/>
    <w:bookmarkStart w:id="23" w:name="payment-schedule"/>
    <w:p>
      <w:pPr>
        <w:pStyle w:val="Heading2"/>
      </w:pPr>
      <w:r>
        <w:t xml:space="preserve">3. Payment Schedule</w:t>
      </w:r>
    </w:p>
    <w:p>
      <w:pPr>
        <w:pStyle w:val="FirstParagraph"/>
      </w:pPr>
      <w:r>
        <w:t xml:space="preserve">In accordance with this Purchase Order, the Client shall remit payment to the Architect in the following installments, each contingent upon the Architect's satisfactory delivery of the corresponding milestone:</w:t>
      </w:r>
    </w:p>
    <w:p>
      <w:pPr>
        <w:pStyle w:val="BodyText"/>
      </w:pPr>
      <w:r>
        <w:rPr>
          <w:bCs/>
          <w:b/>
        </w:rPr>
        <w:t xml:space="preserve">Milestone 1:</w:t>
      </w:r>
      <w:r>
        <w:t xml:space="preserve"> </w:t>
      </w:r>
      <w:r>
        <w:t xml:space="preserve">15% (1,035,000 RUB) upon execution of this Purchase Order and commencement of the feasibility study.</w:t>
      </w:r>
    </w:p>
    <w:p>
      <w:pPr>
        <w:pStyle w:val="BodyText"/>
      </w:pPr>
      <w:r>
        <w:rPr>
          <w:bCs/>
          <w:b/>
        </w:rPr>
        <w:t xml:space="preserve">Milestone 2:</w:t>
      </w:r>
      <w:r>
        <w:t xml:space="preserve"> </w:t>
      </w:r>
      <w:r>
        <w:t xml:space="preserve">25% (1,725,000 RUB) upon Client approval of the Concept Design Package.</w:t>
      </w:r>
    </w:p>
    <w:p>
      <w:pPr>
        <w:pStyle w:val="BodyText"/>
      </w:pPr>
      <w:r>
        <w:rPr>
          <w:bCs/>
          <w:b/>
        </w:rPr>
        <w:t xml:space="preserve">Milestone 3:</w:t>
      </w:r>
      <w:r>
        <w:t xml:space="preserve"> </w:t>
      </w:r>
      <w:r>
        <w:t xml:space="preserve">30% (2,070,000 RUB) upon delivery of the complete Working Drawing Set and successful submission to the Saint Petersburg Gosstroynadzor.</w:t>
      </w:r>
    </w:p>
    <w:p>
      <w:pPr>
        <w:pStyle w:val="BodyText"/>
      </w:pPr>
      <w:r>
        <w:rPr>
          <w:bCs/>
          <w:b/>
        </w:rPr>
        <w:t xml:space="preserve">Milestone 4:</w:t>
      </w:r>
      <w:r>
        <w:t xml:space="preserve"> </w:t>
      </w:r>
      <w:r>
        <w:t xml:space="preserve">20% (1,380,000 RUB) upon completion of construction-phase supervision and issuance of the final supervision report.</w:t>
      </w:r>
    </w:p>
    <w:p>
      <w:pPr>
        <w:pStyle w:val="BodyText"/>
      </w:pPr>
      <w:r>
        <w:rPr>
          <w:bCs/>
          <w:b/>
        </w:rPr>
        <w:t xml:space="preserve">Milestone 5:</w:t>
      </w:r>
      <w:r>
        <w:t xml:space="preserve"> </w:t>
      </w:r>
      <w:r>
        <w:t xml:space="preserve">10% (690,000 RUB) upon delivery of the as-built documentation and formal project handover.</w:t>
      </w:r>
    </w:p>
    <w:p>
      <w:pPr>
        <w:pStyle w:val="BodyText"/>
      </w:pPr>
      <w:r>
        <w:t xml:space="preserve">All payments shall be made via bank transfer to the Architect's designated account in the Russian Federation. Invoices must reference this Purchase Order number (PO-RU-SPB-2025-04782) for proper accounting reconciliation.</w:t>
      </w:r>
    </w:p>
    <w:bookmarkEnd w:id="23"/>
    <w:bookmarkStart w:id="24" w:name="terms-and-conditions"/>
    <w:p>
      <w:pPr>
        <w:pStyle w:val="Heading2"/>
      </w:pPr>
      <w:r>
        <w:t xml:space="preserve">4. Terms and Conditions</w:t>
      </w:r>
    </w:p>
    <w:p>
      <w:pPr>
        <w:pStyle w:val="FirstParagraph"/>
      </w:pPr>
      <w:r>
        <w:t xml:space="preserve">4.1. The Architect warrants that all services rendered under this Purchase Order shall be performed in full compliance with the Federal Law of the Russian Federation "On Town Planning Activities" (No. 190-FZ) and the Saint Petersburg municipal building regulations.</w:t>
      </w:r>
    </w:p>
    <w:p>
      <w:pPr>
        <w:pStyle w:val="BodyText"/>
      </w:pPr>
      <w:r>
        <w:t xml:space="preserve">4.2. The Architect shall maintain professional liability insurance with a minimum coverage of 10,000,000 RUB throughout the duration of this Purchase Order engagement.</w:t>
      </w:r>
    </w:p>
    <w:p>
      <w:pPr>
        <w:pStyle w:val="BodyText"/>
      </w:pPr>
      <w:r>
        <w:t xml:space="preserve">4.3. All intellectual property rights in the architectural designs, drawings, and documentation produced under this Purchase Order shall vest exclusively in the Client upon full payment. The Architect retains the right to reference the completed project in professional portfolios with prior written consent from the Client.</w:t>
      </w:r>
    </w:p>
    <w:p>
      <w:pPr>
        <w:pStyle w:val="BodyText"/>
      </w:pPr>
      <w:r>
        <w:t xml:space="preserve">4.4. The Architect shall not subcontract any portion of the architectural services without the prior written approval of the Client. Any approved subcontractor shall be bound by the same terms as set forth in this Purchase Order.</w:t>
      </w:r>
    </w:p>
    <w:p>
      <w:pPr>
        <w:pStyle w:val="BodyText"/>
      </w:pPr>
      <w:r>
        <w:t xml:space="preserve">4.5. In the event of a dispute arising from this Purchase Order, the parties shall first attempt resolution through mediation in Saint Petersburg. Should mediation fail, the dispute shall be submitted to the Arbitration Court of Saint Petersburg and Leningrad Oblast, Russian Federation.</w:t>
      </w:r>
    </w:p>
    <w:p>
      <w:pPr>
        <w:pStyle w:val="BodyText"/>
      </w:pPr>
      <w:r>
        <w:t xml:space="preserve">4.6. This Purchase Order shall be governed by and construed in accordance with the civil law of the Russian Federation.</w:t>
      </w:r>
    </w:p>
    <w:bookmarkEnd w:id="24"/>
    <w:p>
      <w:pPr>
        <w:pStyle w:val="BodyText"/>
      </w:pPr>
      <w:r>
        <w:rPr>
          <w:bCs/>
          <w:b/>
        </w:rPr>
        <w:t xml:space="preserve">Notice:</w:t>
      </w:r>
      <w:r>
        <w:t xml:space="preserve"> </w:t>
      </w:r>
      <w:r>
        <w:t xml:space="preserve">This Purchase Order is subject to the Architect's valid state registration as an architectural firm in the Russian Federation and the Lead Architect's current professional license. The Client reserves the right to verify all credentials prior to the commencement of work. Any material misrepresentation of qualifications shall render this Purchase Order voidable at the Client's sole discretion.</w:t>
      </w:r>
    </w:p>
    <w:bookmarkStart w:id="25" w:name="acceptance-and-signatures"/>
    <w:p>
      <w:pPr>
        <w:pStyle w:val="Heading2"/>
      </w:pPr>
      <w:r>
        <w:t xml:space="preserve">5. Acceptance and Signatures</w:t>
      </w:r>
    </w:p>
    <w:p>
      <w:pPr>
        <w:pStyle w:val="FirstParagraph"/>
      </w:pPr>
      <w:r>
        <w:t xml:space="preserve">By signing below, both parties acknowledge that they have read, understood, and agree to be bound by all terms and conditions set forth in this Purchase Order for the engagement of the Architect in Saint Petersburg, Russian Federation.</w:t>
      </w:r>
    </w:p>
    <w:bookmarkEnd w:id="25"/>
    <w:p>
      <w:pPr>
        <w:pStyle w:val="BodyText"/>
      </w:pPr>
      <w:r>
        <w:rPr>
          <w:bCs/>
          <w:b/>
        </w:rPr>
        <w:t xml:space="preserve">For the Client:</w:t>
      </w:r>
      <w:r>
        <w:br/>
      </w:r>
      <w:r>
        <w:t xml:space="preserve">Neva Capital Development Group LLC</w:t>
      </w:r>
    </w:p>
    <w:p>
      <w:pPr>
        <w:pStyle w:val="BodyText"/>
      </w:pPr>
      <w:r>
        <w:t xml:space="preserve">Name: Alexander I. Petrov</w:t>
      </w:r>
      <w:r>
        <w:br/>
      </w:r>
      <w:r>
        <w:t xml:space="preserve">Title: Chief Executive Officer</w:t>
      </w:r>
      <w:r>
        <w:br/>
      </w:r>
      <w:r>
        <w:t xml:space="preserve">Signature: _________________________</w:t>
      </w:r>
      <w:r>
        <w:br/>
      </w:r>
      <w:r>
        <w:t xml:space="preserve">Date: _________________________</w:t>
      </w:r>
    </w:p>
    <w:p>
      <w:pPr>
        <w:pStyle w:val="BodyText"/>
      </w:pPr>
      <w:r>
        <w:rPr>
          <w:bCs/>
          <w:b/>
        </w:rPr>
        <w:t xml:space="preserve">For the Architect:</w:t>
      </w:r>
      <w:r>
        <w:br/>
      </w:r>
      <w:r>
        <w:t xml:space="preserve">Studio Arkhitektura Severa</w:t>
      </w:r>
    </w:p>
    <w:p>
      <w:pPr>
        <w:pStyle w:val="BodyText"/>
      </w:pPr>
      <w:r>
        <w:t xml:space="preserve">Name: Dr. Elena V. Morozova</w:t>
      </w:r>
      <w:r>
        <w:br/>
      </w:r>
      <w:r>
        <w:t xml:space="preserve">Title: Lead Architect / Director</w:t>
      </w:r>
      <w:r>
        <w:br/>
      </w:r>
      <w:r>
        <w:t xml:space="preserve">Signature: _________________________</w:t>
      </w:r>
      <w:r>
        <w:br/>
      </w:r>
      <w:r>
        <w:t xml:space="preserve">Date: _________________________</w:t>
      </w:r>
    </w:p>
    <w:p>
      <w:pPr>
        <w:pStyle w:val="BodyText"/>
      </w:pPr>
      <w:r>
        <w:t xml:space="preserve">Purchase Order No. PO-RU-SPB-2025-04782 | Issued in Saint Petersburg, Russian Federation | Page 1 of 1</w:t>
      </w:r>
    </w:p>
    <w:p>
      <w:pPr>
        <w:pStyle w:val="BodyText"/>
      </w:pPr>
      <w:r>
        <w:t xml:space="preserve">This document is a controlled copy. Unauthorized reproduction or distribution is prohibited under the intellectual property laws of the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Saint Petersburg, Russia</dc:title>
  <dc:creator/>
  <dc:language>en</dc:language>
  <cp:keywords/>
  <dcterms:created xsi:type="dcterms:W3CDTF">2026-10-10T03:52:07Z</dcterms:created>
  <dcterms:modified xsi:type="dcterms:W3CDTF">2026-10-10T03:52:07Z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