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Architectural Design &amp; Consulting Services</w:t>
      </w:r>
    </w:p>
    <w:p>
      <w:pPr>
        <w:pStyle w:val="BodyText"/>
      </w:pPr>
      <w:r>
        <w:t xml:space="preserve">Kingdom of Saudi Arabia — Jeddah, Makkah Region</w:t>
      </w:r>
    </w:p>
    <w:bookmarkEnd w:id="20"/>
    <w:p>
      <w:pPr>
        <w:pStyle w:val="BodyText"/>
      </w:pPr>
      <w:r>
        <w:rPr>
          <w:bCs/>
          <w:b/>
        </w:rPr>
        <w:t xml:space="preserve">Purchase Order No.:</w:t>
      </w:r>
      <w:r>
        <w:t xml:space="preserve"> </w:t>
      </w:r>
      <w:r>
        <w:t xml:space="preserve">PO-JED-2025-04872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JED-RES-2025-114</w:t>
      </w:r>
      <w:r>
        <w:br/>
      </w:r>
      <w:r>
        <w:rPr>
          <w:bCs/>
          <w:b/>
        </w:rPr>
        <w:t xml:space="preserve">Payment Terms:</w:t>
      </w:r>
      <w:r>
        <w:t xml:space="preserve"> </w:t>
      </w:r>
      <w:r>
        <w:t xml:space="preserve">Net 30 Days</w:t>
      </w:r>
      <w:r>
        <w:br/>
      </w:r>
      <w:r>
        <w:rPr>
          <w:bCs/>
          <w:b/>
        </w:rPr>
        <w:t xml:space="preserve">Currency:</w:t>
      </w:r>
      <w:r>
        <w:t xml:space="preserve"> </w:t>
      </w:r>
      <w:r>
        <w:t xml:space="preserve">Saudi Riyal (SAR)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Al-Markaz Real Estate Development Co.</w:t>
      </w:r>
    </w:p>
    <w:p>
      <w:pPr>
        <w:pStyle w:val="BodyText"/>
      </w:pPr>
      <w:r>
        <w:rPr>
          <w:bCs/>
          <w:b/>
        </w:rPr>
        <w:t xml:space="preserve">Address:</w:t>
      </w:r>
      <w:r>
        <w:t xml:space="preserve"> </w:t>
      </w:r>
      <w:r>
        <w:t xml:space="preserve">King Fahd Road, Al-Shati District, Jeddah 23412, Saudi Arabia</w:t>
      </w:r>
    </w:p>
    <w:p>
      <w:pPr>
        <w:pStyle w:val="BodyText"/>
      </w:pPr>
      <w:r>
        <w:rPr>
          <w:bCs/>
          <w:b/>
        </w:rPr>
        <w:t xml:space="preserve">CR No.:</w:t>
      </w:r>
      <w:r>
        <w:t xml:space="preserve"> </w:t>
      </w:r>
      <w:r>
        <w:t xml:space="preserve">1010XXXXXX</w:t>
      </w:r>
    </w:p>
    <w:p>
      <w:pPr>
        <w:pStyle w:val="BodyText"/>
      </w:pPr>
      <w:r>
        <w:rPr>
          <w:bCs/>
          <w:b/>
        </w:rPr>
        <w:t xml:space="preserve">VAT No.:</w:t>
      </w:r>
      <w:r>
        <w:t xml:space="preserve"> </w:t>
      </w:r>
      <w:r>
        <w:t xml:space="preserve">3101XXXXXX00003</w:t>
      </w:r>
    </w:p>
    <w:p>
      <w:pPr>
        <w:pStyle w:val="BodyText"/>
      </w:pPr>
      <w:r>
        <w:rPr>
          <w:bCs/>
          <w:b/>
        </w:rPr>
        <w:t xml:space="preserve">Contact:</w:t>
      </w:r>
      <w:r>
        <w:t xml:space="preserve"> </w:t>
      </w:r>
      <w:r>
        <w:t xml:space="preserve">Eng. Khalid Al-Otaibi, Procurement Manager</w:t>
      </w:r>
    </w:p>
    <w:p>
      <w:pPr>
        <w:pStyle w:val="BodyText"/>
      </w:pPr>
      <w:r>
        <w:rPr>
          <w:bCs/>
          <w:b/>
        </w:rPr>
        <w:t xml:space="preserve">Email:</w:t>
      </w:r>
      <w:r>
        <w:t xml:space="preserve"> </w:t>
      </w:r>
      <w:r>
        <w:t xml:space="preserve">procurement@almarkaz-re.sa</w:t>
      </w:r>
    </w:p>
    <w:p>
      <w:pPr>
        <w:pStyle w:val="BodyText"/>
      </w:pPr>
      <w:r>
        <w:rPr>
          <w:bCs/>
          <w:b/>
        </w:rPr>
        <w:t xml:space="preserve">Phone:</w:t>
      </w:r>
      <w:r>
        <w:t xml:space="preserve"> </w:t>
      </w:r>
      <w:r>
        <w:t xml:space="preserve">+966 12 6XXXXXXX</w:t>
      </w:r>
    </w:p>
    <w:bookmarkEnd w:id="21"/>
    <w:bookmarkStart w:id="22" w:name="vendor-service-provider-architect"/>
    <w:p>
      <w:pPr>
        <w:pStyle w:val="Heading3"/>
      </w:pPr>
      <w:r>
        <w:t xml:space="preserve">Vendor / Service Provider (Architect)</w:t>
      </w:r>
    </w:p>
    <w:p>
      <w:pPr>
        <w:pStyle w:val="FirstParagraph"/>
      </w:pPr>
      <w:r>
        <w:rPr>
          <w:bCs/>
          <w:b/>
        </w:rPr>
        <w:t xml:space="preserve">Firm:</w:t>
      </w:r>
      <w:r>
        <w:t xml:space="preserve"> </w:t>
      </w:r>
      <w:r>
        <w:t xml:space="preserve">Dar Al-Maslahah Architecture &amp; Design Studio</w:t>
      </w:r>
    </w:p>
    <w:p>
      <w:pPr>
        <w:pStyle w:val="BodyText"/>
      </w:pPr>
      <w:r>
        <w:rPr>
          <w:bCs/>
          <w:b/>
        </w:rPr>
        <w:t xml:space="preserve">Address:</w:t>
      </w:r>
      <w:r>
        <w:t xml:space="preserve"> </w:t>
      </w:r>
      <w:r>
        <w:t xml:space="preserve">Prince Sultan Bin Abdulaziz Road, Al-Rawdah, Jeddah 23531, Saudi Arabia</w:t>
      </w:r>
    </w:p>
    <w:p>
      <w:pPr>
        <w:pStyle w:val="BodyText"/>
      </w:pPr>
      <w:r>
        <w:rPr>
          <w:bCs/>
          <w:b/>
        </w:rPr>
        <w:t xml:space="preserve">CR No.:</w:t>
      </w:r>
      <w:r>
        <w:t xml:space="preserve"> </w:t>
      </w:r>
      <w:r>
        <w:t xml:space="preserve">1010YYYYYY</w:t>
      </w:r>
    </w:p>
    <w:p>
      <w:pPr>
        <w:pStyle w:val="BodyText"/>
      </w:pPr>
      <w:r>
        <w:rPr>
          <w:bCs/>
          <w:b/>
        </w:rPr>
        <w:t xml:space="preserve">VAT No.:</w:t>
      </w:r>
      <w:r>
        <w:t xml:space="preserve"> </w:t>
      </w:r>
      <w:r>
        <w:t xml:space="preserve">3101YYYYYY00003</w:t>
      </w:r>
    </w:p>
    <w:p>
      <w:pPr>
        <w:pStyle w:val="BodyText"/>
      </w:pPr>
      <w:r>
        <w:rPr>
          <w:bCs/>
          <w:b/>
        </w:rPr>
        <w:t xml:space="preserve">Licensed Architect:</w:t>
      </w:r>
      <w:r>
        <w:t xml:space="preserve"> </w:t>
      </w:r>
      <w:r>
        <w:t xml:space="preserve">Ar. Noura Al-Harbi, RIBA Chartered</w:t>
      </w:r>
    </w:p>
    <w:p>
      <w:pPr>
        <w:pStyle w:val="BodyText"/>
      </w:pPr>
      <w:r>
        <w:rPr>
          <w:bCs/>
          <w:b/>
        </w:rPr>
        <w:t xml:space="preserve">Ministry of Municipal &amp; Rural Affairs License:</w:t>
      </w:r>
      <w:r>
        <w:t xml:space="preserve"> </w:t>
      </w:r>
      <w:r>
        <w:t xml:space="preserve">MMR-2024-08821</w:t>
      </w:r>
    </w:p>
    <w:p>
      <w:pPr>
        <w:pStyle w:val="BodyText"/>
      </w:pPr>
      <w:r>
        <w:rPr>
          <w:bCs/>
          <w:b/>
        </w:rPr>
        <w:t xml:space="preserve">Email:</w:t>
      </w:r>
      <w:r>
        <w:t xml:space="preserve"> </w:t>
      </w:r>
      <w:r>
        <w:t xml:space="preserve">projects@daralmaslahah.sa</w:t>
      </w:r>
    </w:p>
    <w:p>
      <w:pPr>
        <w:pStyle w:val="BodyText"/>
      </w:pPr>
      <w:r>
        <w:rPr>
          <w:bCs/>
          <w:b/>
        </w:rPr>
        <w:t xml:space="preserve">Phone:</w:t>
      </w:r>
      <w:r>
        <w:t xml:space="preserve"> </w:t>
      </w:r>
      <w:r>
        <w:t xml:space="preserve">+966 12 5XXXXXXX</w:t>
      </w:r>
    </w:p>
    <w:bookmarkEnd w:id="22"/>
    <w:p>
      <w:pPr>
        <w:pStyle w:val="BodyText"/>
      </w:pPr>
      <w:r>
        <w:t xml:space="preserve">1. DESCRIPTION OF SERVICES — ARCHITECTURAL SCOPE</w:t>
      </w:r>
    </w:p>
    <w:p>
      <w:pPr>
        <w:pStyle w:val="BodyText"/>
      </w:pPr>
      <w:r>
        <w:t xml:space="preserve">This</w:t>
      </w:r>
      <w:r>
        <w:t xml:space="preserve"> </w:t>
      </w:r>
      <w:r>
        <w:t xml:space="preserve">Purchase Order</w:t>
      </w:r>
      <w:r>
        <w:t xml:space="preserve"> </w:t>
      </w:r>
      <w:r>
        <w:t xml:space="preserve">is issued by Al-Markaz Real Estate Development Co. to engage the services of Dar Al-Maslahah Architecture &amp; Design Studio, a licensed</w:t>
      </w:r>
      <w:r>
        <w:t xml:space="preserve"> </w:t>
      </w:r>
      <w:r>
        <w:t xml:space="preserve">Architect</w:t>
      </w:r>
      <w:r>
        <w:t xml:space="preserve"> </w:t>
      </w:r>
      <w:r>
        <w:t xml:space="preserve">firm operating in</w:t>
      </w:r>
      <w:r>
        <w:t xml:space="preserve"> </w:t>
      </w:r>
      <w:r>
        <w:t xml:space="preserve">Saudi Arabia Jeddah</w:t>
      </w:r>
      <w:r>
        <w:t xml:space="preserve">, to deliver comprehensive architectural design and consulting services for the "Al-Shati Residential Towers" project located on King Fahd Road, Al-Shati District, Jeddah. The</w:t>
      </w:r>
      <w:r>
        <w:t xml:space="preserve"> </w:t>
      </w:r>
      <w:r>
        <w:t xml:space="preserve">Architect</w:t>
      </w:r>
      <w:r>
        <w:t xml:space="preserve"> </w:t>
      </w:r>
      <w:r>
        <w:t xml:space="preserve">shall be responsible for the full architectural scope as detailed below, in strict compliance with the Saudi Building Code (SBC), the Jeddah Municipality zoning regulations, and all applicable directives issued by the Ministry of Municipal, Rural Affairs and Housing of the Kingdom of Saudi Arabia.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Architectural Service</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Conceptual Design &amp; Feasibility Study for a 22-storey residential tower with podium, including massing studies, orientation analysis, and preliminary cost estimation aligned with Jeddah coastal climate conditions.</w:t>
            </w:r>
          </w:p>
        </w:tc>
        <w:tc>
          <w:tcPr/>
          <w:p>
            <w:pPr>
              <w:pStyle w:val="Compact"/>
              <w:jc w:val="left"/>
            </w:pPr>
            <w:r>
              <w:t xml:space="preserve">Concept Report + 3D Massing Models</w:t>
            </w:r>
          </w:p>
        </w:tc>
        <w:tc>
          <w:tcPr/>
          <w:p>
            <w:pPr>
              <w:pStyle w:val="Compact"/>
              <w:jc w:val="left"/>
            </w:pPr>
            <w:r>
              <w:t xml:space="preserve">Weeks 1–6</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Schematic Design Development: floor plans, elevations, sections, and material palettes. Coordination with structural and MEP consultants. Submission of schematic package to Jeddah Municipality for preliminary review.</w:t>
            </w:r>
          </w:p>
        </w:tc>
        <w:tc>
          <w:tcPr/>
          <w:p>
            <w:pPr>
              <w:pStyle w:val="Compact"/>
              <w:jc w:val="left"/>
            </w:pPr>
            <w:r>
              <w:t xml:space="preserve">Schematic Design Package (PDF + CAD)</w:t>
            </w:r>
          </w:p>
        </w:tc>
        <w:tc>
          <w:tcPr/>
          <w:p>
            <w:pPr>
              <w:pStyle w:val="Compact"/>
              <w:jc w:val="left"/>
            </w:pPr>
            <w:r>
              <w:t xml:space="preserve">Weeks 7–14</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Design Development &amp; Detailed Architectural Drawings: full set of construction drawings including architectural, interior fit-out, landscape, and signage. Compliance with Saudi Green Building Code (SGBC) sustainability requirements.</w:t>
            </w:r>
          </w:p>
        </w:tc>
        <w:tc>
          <w:tcPr/>
          <w:p>
            <w:pPr>
              <w:pStyle w:val="Compact"/>
              <w:jc w:val="left"/>
            </w:pPr>
            <w:r>
              <w:t xml:space="preserve">Full Construction Drawing Set (Revit + PDF)</w:t>
            </w:r>
          </w:p>
        </w:tc>
        <w:tc>
          <w:tcPr/>
          <w:p>
            <w:pPr>
              <w:pStyle w:val="Compact"/>
              <w:jc w:val="left"/>
            </w:pPr>
            <w:r>
              <w:t xml:space="preserve">Weeks 15–26</w:t>
            </w:r>
          </w:p>
        </w:tc>
        <w:tc>
          <w:tcPr/>
          <w:p>
            <w:pPr>
              <w:pStyle w:val="Compact"/>
              <w:jc w:val="left"/>
            </w:pPr>
            <w:r>
              <w:t xml:space="preserve">475,000.00</w:t>
            </w:r>
          </w:p>
        </w:tc>
      </w:tr>
      <w:tr>
        <w:tc>
          <w:tcPr/>
          <w:p>
            <w:pPr>
              <w:pStyle w:val="Compact"/>
              <w:jc w:val="left"/>
            </w:pPr>
            <w:r>
              <w:t xml:space="preserve">4</w:t>
            </w:r>
          </w:p>
        </w:tc>
        <w:tc>
          <w:tcPr/>
          <w:p>
            <w:pPr>
              <w:pStyle w:val="Compact"/>
              <w:jc w:val="left"/>
            </w:pPr>
            <w:r>
              <w:t xml:space="preserve">Authority Submissions &amp; Permitting: preparation and submission of all architectural documentation to Jeddah Municipality, Civil Defense, and relevant Saudi authorities. Attendance at review meetings and incorporation of comments until final building permit is issued.</w:t>
            </w:r>
          </w:p>
        </w:tc>
        <w:tc>
          <w:tcPr/>
          <w:p>
            <w:pPr>
              <w:pStyle w:val="Compact"/>
              <w:jc w:val="left"/>
            </w:pPr>
            <w:r>
              <w:t xml:space="preserve">Approved Building Permit</w:t>
            </w:r>
          </w:p>
        </w:tc>
        <w:tc>
          <w:tcPr/>
          <w:p>
            <w:pPr>
              <w:pStyle w:val="Compact"/>
              <w:jc w:val="left"/>
            </w:pPr>
            <w:r>
              <w:t xml:space="preserve">Weeks 27–34</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Construction Phase Architectural Supervision: site visits (minimum bi-weekly), review of shop drawings, response to RFIs, value engineering, and issuance of as-built documentation upon project completion.</w:t>
            </w:r>
          </w:p>
        </w:tc>
        <w:tc>
          <w:tcPr/>
          <w:p>
            <w:pPr>
              <w:pStyle w:val="Compact"/>
              <w:jc w:val="left"/>
            </w:pPr>
            <w:r>
              <w:t xml:space="preserve">Monthly Progress Reports + As-Built Set</w:t>
            </w:r>
          </w:p>
        </w:tc>
        <w:tc>
          <w:tcPr/>
          <w:p>
            <w:pPr>
              <w:pStyle w:val="Compact"/>
              <w:jc w:val="left"/>
            </w:pPr>
            <w:r>
              <w:t xml:space="preserve">Weeks 35–60</w:t>
            </w:r>
          </w:p>
        </w:tc>
        <w:tc>
          <w:tcPr/>
          <w:p>
            <w:pPr>
              <w:pStyle w:val="Compact"/>
              <w:jc w:val="left"/>
            </w:pPr>
            <w:r>
              <w:t xml:space="preserve">380,000.00</w:t>
            </w:r>
          </w:p>
        </w:tc>
      </w:tr>
      <w:tr>
        <w:tc>
          <w:tcPr/>
          <w:p>
            <w:pPr>
              <w:pStyle w:val="Compact"/>
              <w:jc w:val="left"/>
            </w:pPr>
            <w:r>
              <w:t xml:space="preserve">6</w:t>
            </w:r>
          </w:p>
        </w:tc>
        <w:tc>
          <w:tcPr/>
          <w:p>
            <w:pPr>
              <w:pStyle w:val="Compact"/>
              <w:jc w:val="left"/>
            </w:pPr>
            <w:r>
              <w:t xml:space="preserve">Post-Occupancy Evaluation &amp; Handover: 12-month post-completion monitoring, defect liability period support, and final handover documentation package.</w:t>
            </w:r>
          </w:p>
        </w:tc>
        <w:tc>
          <w:tcPr/>
          <w:p>
            <w:pPr>
              <w:pStyle w:val="Compact"/>
              <w:jc w:val="left"/>
            </w:pPr>
            <w:r>
              <w:t xml:space="preserve">POE Report + Handover Dossier</w:t>
            </w:r>
          </w:p>
        </w:tc>
        <w:tc>
          <w:tcPr/>
          <w:p>
            <w:pPr>
              <w:pStyle w:val="Compact"/>
              <w:jc w:val="left"/>
            </w:pPr>
            <w:r>
              <w:t xml:space="preserve">Weeks 61–72</w:t>
            </w:r>
          </w:p>
        </w:tc>
        <w:tc>
          <w:tcPr/>
          <w:p>
            <w:pPr>
              <w:pStyle w:val="Compact"/>
              <w:jc w:val="left"/>
            </w:pPr>
            <w:r>
              <w:t xml:space="preserve">95,000.00</w:t>
            </w:r>
          </w:p>
        </w:tc>
      </w:tr>
      <w:tr>
        <w:tc>
          <w:tcPr>
            <w:gridSpan w:val="4"/>
          </w:tcPr>
          <w:p>
            <w:pPr>
              <w:pStyle w:val="Compact"/>
              <w:jc w:val="right"/>
            </w:pPr>
            <w:r>
              <w:t xml:space="preserve">Subtotal</w:t>
            </w:r>
          </w:p>
        </w:tc>
        <w:tc>
          <w:tcPr/>
          <w:p>
            <w:pPr>
              <w:pStyle w:val="Compact"/>
              <w:jc w:val="left"/>
            </w:pPr>
            <w:r>
              <w:t xml:space="preserve">1,575,000.00</w:t>
            </w:r>
          </w:p>
        </w:tc>
      </w:tr>
      <w:tr>
        <w:tc>
          <w:tcPr>
            <w:gridSpan w:val="4"/>
          </w:tcPr>
          <w:p>
            <w:pPr>
              <w:pStyle w:val="Compact"/>
              <w:jc w:val="right"/>
            </w:pPr>
            <w:r>
              <w:t xml:space="preserve">VAT (15%)</w:t>
            </w:r>
          </w:p>
        </w:tc>
        <w:tc>
          <w:tcPr/>
          <w:p>
            <w:pPr>
              <w:pStyle w:val="Compact"/>
              <w:jc w:val="left"/>
            </w:pPr>
            <w:r>
              <w:t xml:space="preserve">236,250.00</w:t>
            </w:r>
          </w:p>
        </w:tc>
      </w:tr>
      <w:tr>
        <w:tc>
          <w:tcPr>
            <w:gridSpan w:val="4"/>
          </w:tcPr>
          <w:p>
            <w:pPr>
              <w:pStyle w:val="Compact"/>
              <w:jc w:val="right"/>
            </w:pPr>
            <w:r>
              <w:t xml:space="preserve">TOTAL AMOUNT DUE (SAR)</w:t>
            </w:r>
          </w:p>
        </w:tc>
        <w:tc>
          <w:tcPr/>
          <w:p>
            <w:pPr>
              <w:pStyle w:val="Compact"/>
              <w:jc w:val="left"/>
            </w:pPr>
            <w:r>
              <w:t xml:space="preserve">1,811,250.00</w:t>
            </w:r>
          </w:p>
        </w:tc>
      </w:tr>
    </w:tbl>
    <w:p>
      <w:pPr>
        <w:pStyle w:val="BodyText"/>
      </w:pPr>
      <w:r>
        <w:t xml:space="preserve">2. PAYMENT SCHEDULE</w:t>
      </w:r>
    </w:p>
    <w:p>
      <w:pPr>
        <w:pStyle w:val="BodyText"/>
      </w:pPr>
      <w:r>
        <w:t xml:space="preserve">Payment against this</w:t>
      </w:r>
      <w:r>
        <w:t xml:space="preserve"> </w:t>
      </w:r>
      <w:r>
        <w:t xml:space="preserve">Purchase Order</w:t>
      </w:r>
      <w:r>
        <w:t xml:space="preserve"> </w:t>
      </w:r>
      <w:r>
        <w:t xml:space="preserve">shall be made in milestone-based installments as follows: 20% upon execution of this order, 25% upon approval of Schematic Design, 25% upon issuance of the Building Permit by Jeddah Municipality, 20% upon completion of Construction Phase supervision, and 10% upon final handover and Post-Occupancy Evaluation. All payments shall be processed via bank transfer to the</w:t>
      </w:r>
      <w:r>
        <w:t xml:space="preserve"> </w:t>
      </w:r>
      <w:r>
        <w:t xml:space="preserve">Architect</w:t>
      </w:r>
      <w:r>
        <w:t xml:space="preserve">'s designated account in Saudi Riyal (SAR). Late payments shall accrue interest at the rate of 1.5% per month in accordance with Saudi commercial law.</w:t>
      </w:r>
    </w:p>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w:t>
      </w:r>
      <w:r>
        <w:t xml:space="preserve"> </w:t>
      </w:r>
      <w:r>
        <w:t xml:space="preserve">Architect</w:t>
      </w:r>
      <w:r>
        <w:t xml:space="preserve"> </w:t>
      </w:r>
      <w:r>
        <w:t xml:space="preserve">and is governed by the laws of the Kingdom of Saudi Arabia, including the Saudi Civil Transactions Law and the regulations of the Saudi Council of Engineers.</w:t>
      </w:r>
    </w:p>
    <w:p>
      <w:pPr>
        <w:numPr>
          <w:ilvl w:val="0"/>
          <w:numId w:val="1001"/>
        </w:numPr>
        <w:pStyle w:val="Compact"/>
      </w:pPr>
      <w:r>
        <w:t xml:space="preserve">The</w:t>
      </w:r>
      <w:r>
        <w:t xml:space="preserve"> </w:t>
      </w:r>
      <w:r>
        <w:t xml:space="preserve">Architect</w:t>
      </w:r>
      <w:r>
        <w:t xml:space="preserve"> </w:t>
      </w:r>
      <w:r>
        <w:t xml:space="preserve">shall maintain all professional liability insurance and shall be fully responsible for the accuracy, completeness, and code compliance of all architectural deliverables produced under this order in</w:t>
      </w:r>
      <w:r>
        <w:t xml:space="preserve"> </w:t>
      </w:r>
      <w:r>
        <w:t xml:space="preserve">Saudi Arabia Jeddah</w:t>
      </w:r>
      <w:r>
        <w:t xml:space="preserve">.</w:t>
      </w:r>
    </w:p>
    <w:p>
      <w:pPr>
        <w:numPr>
          <w:ilvl w:val="0"/>
          <w:numId w:val="1001"/>
        </w:numPr>
        <w:pStyle w:val="Compact"/>
      </w:pPr>
      <w:r>
        <w:t xml:space="preserve">All intellectual property rights in the architectural drawings, models, and documentation created specifically for this project shall vest in the Buyer upon full payment. The</w:t>
      </w:r>
      <w:r>
        <w:t xml:space="preserve"> </w:t>
      </w:r>
      <w:r>
        <w:t xml:space="preserve">Architect</w:t>
      </w:r>
      <w:r>
        <w:t xml:space="preserve"> </w:t>
      </w:r>
      <w:r>
        <w:t xml:space="preserve">retains the right to use generic design methodologies and pre-existing libraries.</w:t>
      </w:r>
    </w:p>
    <w:p>
      <w:pPr>
        <w:numPr>
          <w:ilvl w:val="0"/>
          <w:numId w:val="1001"/>
        </w:numPr>
        <w:pStyle w:val="Compact"/>
      </w:pPr>
      <w:r>
        <w:t xml:space="preserve">The</w:t>
      </w:r>
      <w:r>
        <w:t xml:space="preserve"> </w:t>
      </w:r>
      <w:r>
        <w:t xml:space="preserve">Architect</w:t>
      </w:r>
      <w:r>
        <w:t xml:space="preserve"> </w:t>
      </w:r>
      <w:r>
        <w:t xml:space="preserve">shall comply with all Saudi Arabian labor, safety, and environmental regulations. Any subcontracting of portions of the architectural scope requires prior written approval from the Buyer.</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amicable negotiation. Failing resolution within 30 days, the matter shall be referred to the competent courts in Jeddah, Kingdom of Saudi Arabia, or to the Saudi Center for Commercial Arbitration (SCCA) at the parties' mutual election.</w:t>
      </w:r>
    </w:p>
    <w:p>
      <w:pPr>
        <w:numPr>
          <w:ilvl w:val="0"/>
          <w:numId w:val="1001"/>
        </w:numPr>
        <w:pStyle w:val="Compact"/>
      </w:pPr>
      <w:r>
        <w:t xml:space="preserve">This</w:t>
      </w:r>
      <w:r>
        <w:t xml:space="preserve"> </w:t>
      </w:r>
      <w:r>
        <w:t xml:space="preserve">Purchase Order</w:t>
      </w:r>
      <w:r>
        <w:t xml:space="preserve"> </w:t>
      </w:r>
      <w:r>
        <w:t xml:space="preserve">may be amended only by a written change order signed by both parties. No verbal modifications to scope, timeline, or compensation shall be valid.</w:t>
      </w:r>
    </w:p>
    <w:p>
      <w:pPr>
        <w:numPr>
          <w:ilvl w:val="0"/>
          <w:numId w:val="1001"/>
        </w:numPr>
        <w:pStyle w:val="Compact"/>
      </w:pPr>
      <w:r>
        <w:t xml:space="preserve">The</w:t>
      </w:r>
      <w:r>
        <w:t xml:space="preserve"> </w:t>
      </w:r>
      <w:r>
        <w:t xml:space="preserve">Architect</w:t>
      </w:r>
      <w:r>
        <w:t xml:space="preserve"> </w:t>
      </w:r>
      <w:r>
        <w:t xml:space="preserve">shall provide a dedicated project manager based in</w:t>
      </w:r>
      <w:r>
        <w:t xml:space="preserve"> </w:t>
      </w:r>
      <w:r>
        <w:t xml:space="preserve">Saudi Arabia Jeddah</w:t>
      </w:r>
      <w:r>
        <w:t xml:space="preserve"> </w:t>
      </w:r>
      <w:r>
        <w:t xml:space="preserve">who shall serve as the single point of contact for all communications, site coordination, and authority liaison activities.</w:t>
      </w:r>
    </w:p>
    <w:p>
      <w:pPr>
        <w:numPr>
          <w:ilvl w:val="0"/>
          <w:numId w:val="1001"/>
        </w:numPr>
        <w:pStyle w:val="Compact"/>
      </w:pPr>
      <w:r>
        <w:t xml:space="preserve">Confidentiality: Both parties agree to treat all project information, site data, and commercial terms as strictly confidential for a period of five (5) years following project completion.</w:t>
      </w:r>
    </w:p>
    <w:p>
      <w:pPr>
        <w:numPr>
          <w:ilvl w:val="0"/>
          <w:numId w:val="1001"/>
        </w:numPr>
        <w:pStyle w:val="Compact"/>
      </w:pPr>
      <w:r>
        <w:t xml:space="preserve">Force Majeure: Neither party shall be liable for delays caused by events beyond reasonable control, including but not limited to natural disasters, government directives, or pandemics, provided written notice is given within 72 hours of the event.</w:t>
      </w:r>
    </w:p>
    <w:p>
      <w:pPr>
        <w:pStyle w:val="FirstParagraph"/>
      </w:pPr>
      <w:r>
        <w:t xml:space="preserve">4. ACCEPTANCE &amp; AUTHORIZATION</w:t>
      </w:r>
    </w:p>
    <w:p>
      <w:pPr>
        <w:pStyle w:val="BodyText"/>
      </w:pPr>
      <w:r>
        <w:t xml:space="preserve">By signing below, both parties acknowledge and accept all terms, conditions, and obligations set forth in this</w:t>
      </w:r>
      <w:r>
        <w:t xml:space="preserve"> </w:t>
      </w:r>
      <w:r>
        <w:t xml:space="preserve">Purchase Order</w:t>
      </w:r>
      <w:r>
        <w:t xml:space="preserve"> </w:t>
      </w:r>
      <w:r>
        <w:t xml:space="preserve">for architectural services to be delivered in</w:t>
      </w:r>
      <w:r>
        <w:t xml:space="preserve"> </w:t>
      </w:r>
      <w:r>
        <w:t xml:space="preserve">Saudi Arabia Jeddah</w:t>
      </w:r>
      <w:r>
        <w:t xml:space="preserve">. This document is executed in two (2) original copies, one for each party.</w:t>
      </w:r>
    </w:p>
    <w:p>
      <w:pPr>
        <w:pStyle w:val="BodyText"/>
      </w:pPr>
      <w:r>
        <w:rPr>
          <w:bCs/>
          <w:b/>
        </w:rPr>
        <w:t xml:space="preserve">For and on behalf of the Buyer:</w:t>
      </w:r>
    </w:p>
    <w:p>
      <w:pPr>
        <w:pStyle w:val="BodyText"/>
      </w:pPr>
      <w:r>
        <w:t xml:space="preserve">Al-Markaz Real Estate Development Co.</w:t>
      </w:r>
    </w:p>
    <w:p>
      <w:pPr>
        <w:pStyle w:val="BodyText"/>
      </w:pPr>
      <w:r>
        <w:rPr>
          <w:bCs/>
          <w:b/>
        </w:rPr>
        <w:t xml:space="preserve">Eng. Khalid Al-Otaibi</w:t>
      </w:r>
      <w:r>
        <w:br/>
      </w:r>
      <w:r>
        <w:t xml:space="preserve">Procurement Manager</w:t>
      </w:r>
      <w:r>
        <w:br/>
      </w:r>
      <w:r>
        <w:t xml:space="preserve">Signature &amp; Company Stamp</w:t>
      </w:r>
      <w:r>
        <w:br/>
      </w:r>
      <w:r>
        <w:t xml:space="preserve">Date: _______________</w:t>
      </w:r>
    </w:p>
    <w:p>
      <w:pPr>
        <w:pStyle w:val="BodyText"/>
      </w:pPr>
      <w:r>
        <w:rPr>
          <w:bCs/>
          <w:b/>
        </w:rPr>
        <w:t xml:space="preserve">For and on behalf of the Architect:</w:t>
      </w:r>
    </w:p>
    <w:p>
      <w:pPr>
        <w:pStyle w:val="BodyText"/>
      </w:pPr>
      <w:r>
        <w:t xml:space="preserve">Dar Al-Maslahah Architecture &amp; Design Studio</w:t>
      </w:r>
    </w:p>
    <w:p>
      <w:pPr>
        <w:pStyle w:val="BodyText"/>
      </w:pPr>
      <w:r>
        <w:rPr>
          <w:bCs/>
          <w:b/>
        </w:rPr>
        <w:t xml:space="preserve">Ar. Noura Al-Harbi</w:t>
      </w:r>
      <w:r>
        <w:br/>
      </w:r>
      <w:r>
        <w:t xml:space="preserve">Licensed Architect / Principal</w:t>
      </w:r>
      <w:r>
        <w:br/>
      </w:r>
      <w:r>
        <w:t xml:space="preserve">Signature &amp; Firm Stamp</w:t>
      </w:r>
      <w:r>
        <w:br/>
      </w:r>
      <w:r>
        <w:t xml:space="preserve">Date: _______________</w:t>
      </w:r>
    </w:p>
    <w:p>
      <w:pPr>
        <w:pStyle w:val="BodyText"/>
      </w:pPr>
      <w:r>
        <w:t xml:space="preserve">Purchase Order No. PO-JED-2025-04872 | Al-Markaz Real Estate Development Co. | Jeddah, Saudi Arabia</w:t>
      </w:r>
    </w:p>
    <w:p>
      <w:pPr>
        <w:pStyle w:val="BodyText"/>
      </w:pPr>
      <w:r>
        <w:t xml:space="preserve">This document is issued in accordance with the Saudi Electronic Transactions Law and the VAT regulations of the Zakat, Tax and Customs Authority (ZATCA).</w:t>
      </w:r>
    </w:p>
    <w:p>
      <w:pPr>
        <w:pStyle w:val="BodyText"/>
      </w:pPr>
      <w:r>
        <w:t xml:space="preserve">© 2025 Al-Markaz Real Estate Development Co.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Saudi Arabia Jeddah</dc:title>
  <dc:creator/>
  <dc:language>en</dc:language>
  <cp:keywords/>
  <dcterms:created xsi:type="dcterms:W3CDTF">2026-10-10T06:50:34Z</dcterms:created>
  <dcterms:modified xsi:type="dcterms:W3CDTF">2026-10-10T06:50:34Z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