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Senegal</w:t>
      </w:r>
      <w:r>
        <w:t xml:space="preserve"> </w:t>
      </w:r>
      <w:r>
        <w:t xml:space="preserve">Dakar</w:t>
      </w:r>
    </w:p>
    <w:bookmarkStart w:id="27" w:name="purchase-order"/>
    <w:p>
      <w:pPr>
        <w:pStyle w:val="Heading1"/>
      </w:pPr>
      <w:r>
        <w:t xml:space="preserve">PURCHASE ORDER</w:t>
      </w:r>
    </w:p>
    <w:p>
      <w:pPr>
        <w:pStyle w:val="FirstParagraph"/>
      </w:pPr>
      <w:r>
        <w:t xml:space="preserve">Architectural Design and Consultation Services — Dakar, Senegal</w:t>
      </w:r>
    </w:p>
    <w:p>
      <w:pPr>
        <w:pStyle w:val="BodyText"/>
      </w:pPr>
      <w:r>
        <w:rPr>
          <w:bCs/>
          <w:b/>
        </w:rPr>
        <w:t xml:space="preserve">Purchase Order No.:</w:t>
      </w:r>
      <w:r>
        <w:t xml:space="preserve"> </w:t>
      </w:r>
      <w:r>
        <w:t xml:space="preserve">PO-SEN-DKR-2025-0472</w:t>
      </w:r>
    </w:p>
    <w:p>
      <w:pPr>
        <w:pStyle w:val="BodyText"/>
      </w:pPr>
      <w:r>
        <w:rPr>
          <w:bCs/>
          <w:b/>
        </w:rPr>
        <w:t xml:space="preserve">Date of Issue:</w:t>
      </w:r>
      <w:r>
        <w:t xml:space="preserve"> </w:t>
      </w:r>
      <w:r>
        <w:t xml:space="preserve">14 June 2025</w:t>
      </w:r>
    </w:p>
    <w:p>
      <w:pPr>
        <w:pStyle w:val="BodyText"/>
      </w:pPr>
      <w:r>
        <w:rPr>
          <w:bCs/>
          <w:b/>
        </w:rPr>
        <w:t xml:space="preserve">Place of Execution:</w:t>
      </w:r>
      <w:r>
        <w:t xml:space="preserve"> </w:t>
      </w:r>
      <w:r>
        <w:t xml:space="preserve">Dakar, Senegal</w:t>
      </w:r>
    </w:p>
    <w:p>
      <w:pPr>
        <w:pStyle w:val="BodyText"/>
      </w:pPr>
      <w:r>
        <w:rPr>
          <w:bCs/>
          <w:b/>
        </w:rPr>
        <w:t xml:space="preserve">Validity Period:</w:t>
      </w:r>
      <w:r>
        <w:t xml:space="preserve"> </w:t>
      </w:r>
      <w:r>
        <w:t xml:space="preserve">90 days from date of issue</w:t>
      </w:r>
    </w:p>
    <w:p>
      <w:pPr>
        <w:pStyle w:val="BodyText"/>
      </w:pPr>
      <w:r>
        <w:rPr>
          <w:bCs/>
          <w:b/>
        </w:rPr>
        <w:t xml:space="preserve">Issuing Entity:</w:t>
      </w:r>
    </w:p>
    <w:p>
      <w:pPr>
        <w:pStyle w:val="BodyText"/>
      </w:pPr>
      <w:r>
        <w:t xml:space="preserve">Société Immobilière du Lac Rose SARL</w:t>
      </w:r>
    </w:p>
    <w:p>
      <w:pPr>
        <w:pStyle w:val="BodyText"/>
      </w:pPr>
      <w:r>
        <w:t xml:space="preserve">12 Avenue Cheikh Anta Diop</w:t>
      </w:r>
    </w:p>
    <w:p>
      <w:pPr>
        <w:pStyle w:val="BodyText"/>
      </w:pPr>
      <w:r>
        <w:t xml:space="preserve">Plateau, Dakar, Senegal</w:t>
      </w:r>
    </w:p>
    <w:p>
      <w:pPr>
        <w:pStyle w:val="BodyText"/>
      </w:pPr>
      <w:r>
        <w:t xml:space="preserve">RC: SN-DKR-2019-B-14582</w:t>
      </w:r>
    </w:p>
    <w:p>
      <w:pPr>
        <w:pStyle w:val="BodyText"/>
      </w:pPr>
      <w:r>
        <w:t xml:space="preserve">Tax ID (NIF): 00458217-36</w:t>
      </w:r>
    </w:p>
    <w:bookmarkStart w:id="20" w:name="vendor-architect-information"/>
    <w:p>
      <w:pPr>
        <w:pStyle w:val="Heading2"/>
      </w:pPr>
      <w:r>
        <w:t xml:space="preserve">1. Vendor / Architect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Architect Firm Name</w:t>
            </w:r>
          </w:p>
        </w:tc>
        <w:tc>
          <w:tcPr/>
          <w:p>
            <w:pPr>
              <w:pStyle w:val="Compact"/>
              <w:jc w:val="left"/>
            </w:pPr>
            <w:r>
              <w:t xml:space="preserve">Bureau d'Architecture Ndiaye &amp; Associés</w:t>
            </w:r>
          </w:p>
        </w:tc>
      </w:tr>
      <w:tr>
        <w:tc>
          <w:tcPr/>
          <w:p>
            <w:pPr>
              <w:pStyle w:val="Compact"/>
              <w:jc w:val="left"/>
            </w:pPr>
            <w:r>
              <w:t xml:space="preserve">Lead Architect</w:t>
            </w:r>
          </w:p>
        </w:tc>
        <w:tc>
          <w:tcPr/>
          <w:p>
            <w:pPr>
              <w:pStyle w:val="Compact"/>
              <w:jc w:val="left"/>
            </w:pPr>
            <w:r>
              <w:t xml:space="preserve">Arch. Mamadou Ndiaye, M.Arch., RIBA Chartered</w:t>
            </w:r>
          </w:p>
        </w:tc>
      </w:tr>
      <w:tr>
        <w:tc>
          <w:tcPr/>
          <w:p>
            <w:pPr>
              <w:pStyle w:val="Compact"/>
              <w:jc w:val="left"/>
            </w:pPr>
            <w:r>
              <w:t xml:space="preserve">Professional License No.</w:t>
            </w:r>
          </w:p>
        </w:tc>
        <w:tc>
          <w:tcPr/>
          <w:p>
            <w:pPr>
              <w:pStyle w:val="Compact"/>
              <w:jc w:val="left"/>
            </w:pPr>
            <w:r>
              <w:t xml:space="preserve">Ordre des Architectes du Sénégal — License OA-SN-2011-0087</w:t>
            </w:r>
          </w:p>
        </w:tc>
      </w:tr>
      <w:tr>
        <w:tc>
          <w:tcPr/>
          <w:p>
            <w:pPr>
              <w:pStyle w:val="Compact"/>
              <w:jc w:val="left"/>
            </w:pPr>
            <w:r>
              <w:t xml:space="preserve">Office Address</w:t>
            </w:r>
          </w:p>
        </w:tc>
        <w:tc>
          <w:tcPr/>
          <w:p>
            <w:pPr>
              <w:pStyle w:val="Compact"/>
              <w:jc w:val="left"/>
            </w:pPr>
            <w:r>
              <w:t xml:space="preserve">45 Rue de la République, Almadies, Dakar, Senegal</w:t>
            </w:r>
          </w:p>
        </w:tc>
      </w:tr>
      <w:tr>
        <w:tc>
          <w:tcPr/>
          <w:p>
            <w:pPr>
              <w:pStyle w:val="Compact"/>
              <w:jc w:val="left"/>
            </w:pPr>
            <w:r>
              <w:t xml:space="preserve">Contact Email</w:t>
            </w:r>
          </w:p>
        </w:tc>
        <w:tc>
          <w:tcPr/>
          <w:p>
            <w:pPr>
              <w:pStyle w:val="Compact"/>
              <w:jc w:val="left"/>
            </w:pPr>
            <w:r>
              <w:t xml:space="preserve">contact@ba-ndiaye.sn</w:t>
            </w:r>
          </w:p>
        </w:tc>
      </w:tr>
      <w:tr>
        <w:tc>
          <w:tcPr/>
          <w:p>
            <w:pPr>
              <w:pStyle w:val="Compact"/>
              <w:jc w:val="left"/>
            </w:pPr>
            <w:r>
              <w:t xml:space="preserve">Telephone</w:t>
            </w:r>
          </w:p>
        </w:tc>
        <w:tc>
          <w:tcPr/>
          <w:p>
            <w:pPr>
              <w:pStyle w:val="Compact"/>
              <w:jc w:val="left"/>
            </w:pPr>
            <w:r>
              <w:t xml:space="preserve">+221 33 864 2210</w:t>
            </w:r>
          </w:p>
        </w:tc>
      </w:tr>
      <w:tr>
        <w:tc>
          <w:tcPr/>
          <w:p>
            <w:pPr>
              <w:pStyle w:val="Compact"/>
              <w:jc w:val="left"/>
            </w:pPr>
            <w:r>
              <w:t xml:space="preserve">Bank Account</w:t>
            </w:r>
          </w:p>
        </w:tc>
        <w:tc>
          <w:tcPr/>
          <w:p>
            <w:pPr>
              <w:pStyle w:val="Compact"/>
              <w:jc w:val="left"/>
            </w:pPr>
            <w:r>
              <w:t xml:space="preserve">Banque Atlantique S.A. — IBAN: SN09 1000 2000 0123 4567 8901 234</w:t>
            </w:r>
          </w:p>
        </w:tc>
      </w:tr>
    </w:tbl>
    <w:bookmarkEnd w:id="20"/>
    <w:bookmarkStart w:id="21" w:name="Xfdbdcf55338e817ddfe8397e04b935af0985879"/>
    <w:p>
      <w:pPr>
        <w:pStyle w:val="Heading2"/>
      </w:pPr>
      <w:r>
        <w:t xml:space="preserve">2. Description of Architectural Services Procured</w:t>
      </w:r>
    </w:p>
    <w:p>
      <w:pPr>
        <w:pStyle w:val="FirstParagraph"/>
      </w:pPr>
      <w:r>
        <w:t xml:space="preserve">This Purchase Order is issued by Société Immobilière du Lac Rose SARL (hereinafter referred to as the</w:t>
      </w:r>
      <w:r>
        <w:t xml:space="preserve"> </w:t>
      </w:r>
      <w:r>
        <w:rPr>
          <w:iCs/>
          <w:i/>
        </w:rPr>
        <w:t xml:space="preserve">Client</w:t>
      </w:r>
      <w:r>
        <w:t xml:space="preserve">) to Bureau d'Architecture Ndiaye &amp; Associés (hereinafter referred to as the</w:t>
      </w:r>
      <w:r>
        <w:t xml:space="preserve"> </w:t>
      </w:r>
      <w:r>
        <w:rPr>
          <w:iCs/>
          <w:i/>
        </w:rPr>
        <w:t xml:space="preserve">Architect</w:t>
      </w:r>
      <w:r>
        <w:t xml:space="preserve">) for the full scope of architectural design, planning, and technical consultation services required for the construction of a mixed-use residential and commercial development project located in the Fann-Pointe district of Dakar, Senegal. The Architect shall be responsible for all phases of design from conceptual planning through to construction documentation, in strict compliance with the Senegalese Urban Planning Code (Code de l'Urbanisme et de la Construction du Sénégal), the building regulations of the Ville de Dakar, and the environmental impact assessment requirements set forth by the Agence Nationale de l'Environnement et du Développement Durable (ANEDD) of Senegal.</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Quantity / Phase</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Conceptual design and feasibility study for the 12-storey mixed-use tower, including site analysis of the Fann-Pointe plot, massing studies, and preliminary architectural programming aligned with Dakar's coastal urban morphology.</w:t>
            </w:r>
          </w:p>
        </w:tc>
        <w:tc>
          <w:tcPr/>
          <w:p>
            <w:pPr>
              <w:pStyle w:val="Compact"/>
              <w:jc w:val="left"/>
            </w:pPr>
            <w:r>
              <w:t xml:space="preserve">1 Phase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Schematic design development, including floor plans, elevations, sections, and 3D renderings of the residential units (48 apartments) and ground-floor commercial spaces, incorporating passive cooling strategies appropriate to the Dakar tropical climate.</w:t>
            </w:r>
          </w:p>
        </w:tc>
        <w:tc>
          <w:tcPr/>
          <w:p>
            <w:pPr>
              <w:pStyle w:val="Compact"/>
              <w:jc w:val="left"/>
            </w:pPr>
            <w:r>
              <w:t xml:space="preserve">1 Phase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Detailed architectural design and construction documentation package: working drawings, structural coordination drawings, MEP coordination, material specifications, and bill of quantities, prepared in accordance with the Senegalese National Building Code (Règlement de Construction).</w:t>
            </w:r>
          </w:p>
        </w:tc>
        <w:tc>
          <w:tcPr/>
          <w:p>
            <w:pPr>
              <w:pStyle w:val="Compact"/>
              <w:jc w:val="left"/>
            </w:pPr>
            <w:r>
              <w:t xml:space="preserve">1 Phase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Permit application support: preparation and submission of all architectural plans to the Direction de l'Urbanisme et de la Construction de la Ville de Dakar, follow-up with municipal authorities, and response to any revision requests from the Senegalese planning commission.</w:t>
            </w:r>
          </w:p>
        </w:tc>
        <w:tc>
          <w:tcPr/>
          <w:p>
            <w:pPr>
              <w:pStyle w:val="Compact"/>
              <w:jc w:val="left"/>
            </w:pPr>
            <w:r>
              <w:t xml:space="preserve">1 Phase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Construction-phase architectural supervision and site visits in Dakar: minimum 24 site inspections, progress reporting, resolution of design queries, and certification of architectural compliance at each milestone.</w:t>
            </w:r>
          </w:p>
        </w:tc>
        <w:tc>
          <w:tcPr/>
          <w:p>
            <w:pPr>
              <w:pStyle w:val="Compact"/>
              <w:jc w:val="left"/>
            </w:pPr>
            <w:r>
              <w:t xml:space="preserve">24 Visits</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06</w:t>
            </w:r>
          </w:p>
        </w:tc>
        <w:tc>
          <w:tcPr/>
          <w:p>
            <w:pPr>
              <w:pStyle w:val="Compact"/>
              <w:jc w:val="left"/>
            </w:pPr>
            <w:r>
              <w:t xml:space="preserve">Final as-built documentation, handover dossier, and warranty-period architectural consultation (12 months post-completion) in Dakar.</w:t>
            </w:r>
          </w:p>
        </w:tc>
        <w:tc>
          <w:tcPr/>
          <w:p>
            <w:pPr>
              <w:pStyle w:val="Compact"/>
              <w:jc w:val="left"/>
            </w:pPr>
            <w:r>
              <w:t xml:space="preserve">1 Phase</w:t>
            </w:r>
          </w:p>
        </w:tc>
        <w:tc>
          <w:tcPr/>
          <w:p>
            <w:pPr>
              <w:pStyle w:val="Compact"/>
              <w:jc w:val="left"/>
            </w:pPr>
            <w:r>
              <w:t xml:space="preserve">3,800,000</w:t>
            </w:r>
          </w:p>
        </w:tc>
        <w:tc>
          <w:tcPr/>
          <w:p>
            <w:pPr>
              <w:pStyle w:val="Compact"/>
              <w:jc w:val="left"/>
            </w:pPr>
            <w:r>
              <w:t xml:space="preserve">3,800,000</w:t>
            </w:r>
          </w:p>
        </w:tc>
      </w:tr>
      <w:tr>
        <w:tc>
          <w:tcPr>
            <w:gridSpan w:val="4"/>
          </w:tcPr>
          <w:p>
            <w:pPr>
              <w:pStyle w:val="Compact"/>
              <w:jc w:val="right"/>
            </w:pPr>
            <w:r>
              <w:t xml:space="preserve">TOTAL CONTRACT VALUE (XOF)</w:t>
            </w:r>
          </w:p>
        </w:tc>
        <w:tc>
          <w:tcPr/>
          <w:p>
            <w:pPr>
              <w:pStyle w:val="Compact"/>
              <w:jc w:val="left"/>
            </w:pPr>
            <w:r>
              <w:t xml:space="preserve">55,400,000</w:t>
            </w:r>
          </w:p>
        </w:tc>
      </w:tr>
      <w:tr>
        <w:tc>
          <w:tcPr>
            <w:gridSpan w:val="4"/>
          </w:tcPr>
          <w:p>
            <w:pPr>
              <w:pStyle w:val="Compact"/>
              <w:jc w:val="right"/>
            </w:pPr>
            <w:r>
              <w:t xml:space="preserve">TOTAL CONTRACT VALUE (USD, approx. at 600 XOF/USD)</w:t>
            </w:r>
          </w:p>
        </w:tc>
        <w:tc>
          <w:tcPr/>
          <w:p>
            <w:pPr>
              <w:pStyle w:val="Compact"/>
              <w:jc w:val="left"/>
            </w:pPr>
            <w:r>
              <w:t xml:space="preserve">92,333.33</w:t>
            </w:r>
          </w:p>
        </w:tc>
      </w:tr>
    </w:tbl>
    <w:bookmarkEnd w:id="22"/>
    <w:bookmarkStart w:id="23" w:name="payment-terms"/>
    <w:p>
      <w:pPr>
        <w:pStyle w:val="Heading2"/>
      </w:pPr>
      <w:r>
        <w:t xml:space="preserve">4. Payment Terms</w:t>
      </w:r>
    </w:p>
    <w:p>
      <w:pPr>
        <w:pStyle w:val="FirstParagraph"/>
      </w:pPr>
      <w:r>
        <w:t xml:space="preserve">Payment shall be made in CFA Francs (XOF) via bank transfer to the Architect's designated account at Banque Atlantique S.A., Dakar. The payment schedule is structured as follows: 20% upon execution of this Purchase Order; 25% upon approval of the schematic design phase; 25% upon delivery of the complete construction documentation package; 20% upon issuance of the building permit by the Ville de Dakar; and 10% upon completion of the final as-built dossier and handover. All invoices must reference Purchase Order No. PO-SEN-DKR-2025-0472 and shall be payable within thirty (30) calendar days of receipt. Late payments shall accrue interest at the rate prescribed by the Senegalese Commercial Code (Code de Commerce du Sénégal), currently 10% per annum.</w:t>
      </w:r>
    </w:p>
    <w:bookmarkEnd w:id="23"/>
    <w:bookmarkStart w:id="24" w:name="terms-and-conditions"/>
    <w:p>
      <w:pPr>
        <w:pStyle w:val="Heading2"/>
      </w:pPr>
      <w:r>
        <w:t xml:space="preserve">5. Terms and Conditions</w:t>
      </w:r>
    </w:p>
    <w:p>
      <w:pPr>
        <w:pStyle w:val="FirstParagraph"/>
      </w:pPr>
      <w:r>
        <w:t xml:space="preserve">The Architect warrants that all services rendered under this Purchase Order shall be performed in a professional and workmanlike manner, in full compliance with the professional standards of the Ordre des Architectes du Sénégal and applicable Senegalese legislation. The Architect shall maintain professional liability insurance (assurance réponse civile professionnelle) with a minimum coverage of 50,000,000 XOF throughout the duration of the engagement. All intellectual property rights in the architectural drawings, models, and design documents produced under this Purchase Order shall vest in the Client upon full payment, subject to the Architect's right of moral authorship as recognized under Senegalese intellectual property law (Loi n° 92-07 du 23 janvier 1992 relative à la propriété intellectuelle). The Architect shall not subcontract any portion of the architectural design services without prior written consent from the Client. Disputes arising from this Purchase Order shall be resolved through amicable negotiation, failing which they shall be submitted to the competent commercial courts of Dakar, Senegal, in accordance with the provisions of the Senegalese Code of Civil Procedure.</w:t>
      </w:r>
    </w:p>
    <w:bookmarkEnd w:id="24"/>
    <w:bookmarkStart w:id="25" w:name="project-timeline"/>
    <w:p>
      <w:pPr>
        <w:pStyle w:val="Heading2"/>
      </w:pPr>
      <w:r>
        <w:t xml:space="preserve">6. Project Timeline</w:t>
      </w:r>
    </w:p>
    <w:p>
      <w:pPr>
        <w:pStyle w:val="FirstParagraph"/>
      </w:pPr>
      <w:r>
        <w:t xml:space="preserve">The Architect shall complete all design phases within a total period of fourteen (14) months from the date of this Purchase Order. The construction supervision phase shall extend for the duration of the building works, estimated at twenty-four (24) months, with the warranty consultation period adding a further twelve (12) months. All milestones are subject to the approval timelines of the Dakar municipal planning authorities.</w:t>
      </w:r>
    </w:p>
    <w:bookmarkEnd w:id="25"/>
    <w:bookmarkStart w:id="26" w:name="acceptance-and-signatures"/>
    <w:p>
      <w:pPr>
        <w:pStyle w:val="Heading2"/>
      </w:pPr>
      <w:r>
        <w:t xml:space="preserve">7. Acceptance and Signatures</w:t>
      </w:r>
    </w:p>
    <w:p>
      <w:pPr>
        <w:pStyle w:val="FirstParagraph"/>
      </w:pPr>
      <w:r>
        <w:rPr>
          <w:bCs/>
          <w:b/>
        </w:rPr>
        <w:t xml:space="preserve">For and on behalf of the Client:</w:t>
      </w:r>
    </w:p>
    <w:p>
      <w:pPr>
        <w:pStyle w:val="BodyText"/>
      </w:pPr>
      <w:r>
        <w:t xml:space="preserve">Société Immobilière du Lac Rose SARL</w:t>
      </w:r>
    </w:p>
    <w:p>
      <w:pPr>
        <w:pStyle w:val="BodyText"/>
      </w:pPr>
      <w:r>
        <w:t xml:space="preserve">Name: Awa Diop, Directrice Générale</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the Architect:</w:t>
      </w:r>
    </w:p>
    <w:p>
      <w:pPr>
        <w:pStyle w:val="BodyText"/>
      </w:pPr>
      <w:r>
        <w:t xml:space="preserve">Bureau d'Architecture Ndiaye &amp; Associés</w:t>
      </w:r>
    </w:p>
    <w:p>
      <w:pPr>
        <w:pStyle w:val="BodyText"/>
      </w:pPr>
      <w:r>
        <w:t xml:space="preserve">Name: Arch. Mamadou Ndiaye</w:t>
      </w:r>
    </w:p>
    <w:p>
      <w:pPr>
        <w:pStyle w:val="BodyText"/>
      </w:pPr>
      <w:r>
        <w:t xml:space="preserve">Date: _______________</w:t>
      </w:r>
    </w:p>
    <w:p>
      <w:pPr>
        <w:pStyle w:val="BodyText"/>
      </w:pPr>
      <w:r>
        <w:t xml:space="preserve">Signature &amp; Professional Stamp</w:t>
      </w:r>
    </w:p>
    <w:p>
      <w:pPr>
        <w:pStyle w:val="BodyText"/>
      </w:pPr>
      <w:r>
        <w:t xml:space="preserve">This Purchase Order is governed by the laws of the Republic of Senegal. It constitutes a binding commercial agreement between the parties upon signature by both. A copy of this document shall be filed with the Direction de l'Urbanisme et de la Construction de la Ville de Dakar as part of the building permit application dossier. Document reference: PO-SEN-DKR-2025-0472. Issued in Dakar, Senegal.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Senegal Dakar</dc:title>
  <dc:creator/>
  <dc:language>en</dc:language>
  <cp:keywords/>
  <dcterms:created xsi:type="dcterms:W3CDTF">2026-10-10T01:49:18Z</dcterms:created>
  <dcterms:modified xsi:type="dcterms:W3CDTF">2026-10-10T01:49:18Z</dcterms:modified>
</cp:coreProperties>
</file>

<file path=docProps/custom.xml><?xml version="1.0" encoding="utf-8"?>
<Properties xmlns="http://schemas.openxmlformats.org/officeDocument/2006/custom-properties" xmlns:vt="http://schemas.openxmlformats.org/officeDocument/2006/docPropsVTypes"/>
</file>