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Architectural</w:t>
      </w:r>
      <w:r>
        <w:t xml:space="preserve"> </w:t>
      </w:r>
      <w:r>
        <w:t xml:space="preserve">Services</w:t>
      </w:r>
      <w:r>
        <w:t xml:space="preserve"> </w:t>
      </w:r>
      <w:r>
        <w:t xml:space="preserve">-</w:t>
      </w:r>
      <w:r>
        <w:t xml:space="preserve"> </w:t>
      </w:r>
      <w:r>
        <w:t xml:space="preserve">Barcelona,</w:t>
      </w:r>
      <w:r>
        <w:t xml:space="preserve"> </w:t>
      </w:r>
      <w:r>
        <w:t xml:space="preserve">Spain</w:t>
      </w:r>
    </w:p>
    <w:bookmarkStart w:id="20" w:name="purchase-order"/>
    <w:p>
      <w:pPr>
        <w:pStyle w:val="Heading1"/>
      </w:pPr>
      <w:r>
        <w:t xml:space="preserve">PURCHASE ORDER</w:t>
      </w:r>
    </w:p>
    <w:p>
      <w:pPr>
        <w:pStyle w:val="FirstParagraph"/>
      </w:pPr>
      <w:r>
        <w:t xml:space="preserve">Architectural Design &amp; Consulting Services</w:t>
      </w:r>
    </w:p>
    <w:p>
      <w:pPr>
        <w:pStyle w:val="BodyText"/>
      </w:pPr>
      <w:r>
        <w:t xml:space="preserve">PO No.: ES-BCN-2025-04782</w:t>
      </w:r>
    </w:p>
    <w:p>
      <w:pPr>
        <w:pStyle w:val="BodyText"/>
      </w:pPr>
      <w:r>
        <w:t xml:space="preserve">Issued in Barcelona, Spain — Governed by the Spanish Civil Code and applicable Catalan regional regulations</w:t>
      </w:r>
    </w:p>
    <w:bookmarkEnd w:id="20"/>
    <w:bookmarkStart w:id="21" w:name="purchaser-buyer"/>
    <w:p>
      <w:pPr>
        <w:pStyle w:val="Heading3"/>
      </w:pPr>
      <w:r>
        <w:t xml:space="preserve">Purchaser (Buyer)</w:t>
      </w:r>
    </w:p>
    <w:p>
      <w:pPr>
        <w:pStyle w:val="FirstParagraph"/>
      </w:pPr>
      <w:r>
        <w:rPr>
          <w:bCs/>
          <w:b/>
        </w:rPr>
        <w:t xml:space="preserve">Company:</w:t>
      </w:r>
      <w:r>
        <w:t xml:space="preserve"> </w:t>
      </w:r>
      <w:r>
        <w:t xml:space="preserve">Barcelona Urban Development S.L.</w:t>
      </w:r>
    </w:p>
    <w:p>
      <w:pPr>
        <w:pStyle w:val="BodyText"/>
      </w:pPr>
      <w:r>
        <w:rPr>
          <w:bCs/>
          <w:b/>
        </w:rPr>
        <w:t xml:space="preserve">Address:</w:t>
      </w:r>
      <w:r>
        <w:t xml:space="preserve"> </w:t>
      </w:r>
      <w:r>
        <w:t xml:space="preserve">Passeig de Gràcia 88, 4th Floor, 08008 Barcelona, Spain</w:t>
      </w:r>
    </w:p>
    <w:p>
      <w:pPr>
        <w:pStyle w:val="BodyText"/>
      </w:pPr>
      <w:r>
        <w:rPr>
          <w:bCs/>
          <w:b/>
        </w:rPr>
        <w:t xml:space="preserve">VAT Number (NIF):</w:t>
      </w:r>
      <w:r>
        <w:t xml:space="preserve"> </w:t>
      </w:r>
      <w:r>
        <w:t xml:space="preserve">B-65432109</w:t>
      </w:r>
    </w:p>
    <w:p>
      <w:pPr>
        <w:pStyle w:val="BodyText"/>
      </w:pPr>
      <w:r>
        <w:rPr>
          <w:bCs/>
          <w:b/>
        </w:rPr>
        <w:t xml:space="preserve">Contact:</w:t>
      </w:r>
      <w:r>
        <w:t xml:space="preserve"> </w:t>
      </w:r>
      <w:r>
        <w:t xml:space="preserve">Mr. Jordi Ferrer, Project Director</w:t>
      </w:r>
    </w:p>
    <w:p>
      <w:pPr>
        <w:pStyle w:val="BodyText"/>
      </w:pPr>
      <w:r>
        <w:rPr>
          <w:bCs/>
          <w:b/>
        </w:rPr>
        <w:t xml:space="preserve">Email:</w:t>
      </w:r>
      <w:r>
        <w:t xml:space="preserve"> </w:t>
      </w:r>
      <w:r>
        <w:t xml:space="preserve">j.ferrer@bcnurbandev.es</w:t>
      </w:r>
    </w:p>
    <w:p>
      <w:pPr>
        <w:pStyle w:val="BodyText"/>
      </w:pPr>
      <w:r>
        <w:rPr>
          <w:bCs/>
          <w:b/>
        </w:rPr>
        <w:t xml:space="preserve">Phone:</w:t>
      </w:r>
      <w:r>
        <w:t xml:space="preserve"> </w:t>
      </w:r>
      <w:r>
        <w:t xml:space="preserve">+34 93 214 5678</w:t>
      </w:r>
    </w:p>
    <w:bookmarkEnd w:id="21"/>
    <w:bookmarkStart w:id="22" w:name="supplier-architect"/>
    <w:p>
      <w:pPr>
        <w:pStyle w:val="Heading3"/>
      </w:pPr>
      <w:r>
        <w:t xml:space="preserve">Supplier (Architect)</w:t>
      </w:r>
    </w:p>
    <w:p>
      <w:pPr>
        <w:pStyle w:val="FirstParagraph"/>
      </w:pPr>
      <w:r>
        <w:rPr>
          <w:bCs/>
          <w:b/>
        </w:rPr>
        <w:t xml:space="preserve">Company:</w:t>
      </w:r>
      <w:r>
        <w:t xml:space="preserve"> </w:t>
      </w:r>
      <w:r>
        <w:t xml:space="preserve">Estudio Arquitectura Mediterrània S.L.P.</w:t>
      </w:r>
    </w:p>
    <w:p>
      <w:pPr>
        <w:pStyle w:val="BodyText"/>
      </w:pPr>
      <w:r>
        <w:rPr>
          <w:bCs/>
          <w:b/>
        </w:rPr>
        <w:t xml:space="preserve">Address:</w:t>
      </w:r>
      <w:r>
        <w:t xml:space="preserve"> </w:t>
      </w:r>
      <w:r>
        <w:t xml:space="preserve">Carrer de la Marina 24, 2nd Floor, 08005 Barcelona, Spain</w:t>
      </w:r>
    </w:p>
    <w:p>
      <w:pPr>
        <w:pStyle w:val="BodyText"/>
      </w:pPr>
      <w:r>
        <w:rPr>
          <w:bCs/>
          <w:b/>
        </w:rPr>
        <w:t xml:space="preserve">VAT Number (NIF):</w:t>
      </w:r>
      <w:r>
        <w:t xml:space="preserve"> </w:t>
      </w:r>
      <w:r>
        <w:t xml:space="preserve">B-78945612</w:t>
      </w:r>
    </w:p>
    <w:p>
      <w:pPr>
        <w:pStyle w:val="BodyText"/>
      </w:pPr>
      <w:r>
        <w:rPr>
          <w:bCs/>
          <w:b/>
        </w:rPr>
        <w:t xml:space="preserve">Lead Architect:</w:t>
      </w:r>
      <w:r>
        <w:t xml:space="preserve"> </w:t>
      </w:r>
      <w:r>
        <w:t xml:space="preserve">Arq. María del Carmen Soler, COAC No. 34521</w:t>
      </w:r>
    </w:p>
    <w:p>
      <w:pPr>
        <w:pStyle w:val="BodyText"/>
      </w:pPr>
      <w:r>
        <w:rPr>
          <w:bCs/>
          <w:b/>
        </w:rPr>
        <w:t xml:space="preserve">Email:</w:t>
      </w:r>
      <w:r>
        <w:t xml:space="preserve"> </w:t>
      </w:r>
      <w:r>
        <w:t xml:space="preserve">m.soler@estudioarqmed.es</w:t>
      </w:r>
    </w:p>
    <w:p>
      <w:pPr>
        <w:pStyle w:val="BodyText"/>
      </w:pPr>
      <w:r>
        <w:rPr>
          <w:bCs/>
          <w:b/>
        </w:rPr>
        <w:t xml:space="preserve">Phone:</w:t>
      </w:r>
      <w:r>
        <w:t xml:space="preserve"> </w:t>
      </w:r>
      <w:r>
        <w:t xml:space="preserve">+34 93 325 6789</w:t>
      </w:r>
    </w:p>
    <w:bookmarkEnd w:id="22"/>
    <w:p>
      <w:pPr>
        <w:pStyle w:val="BodyText"/>
      </w:pPr>
      <w:r>
        <w:t xml:space="preserve">Order Details</w:t>
      </w:r>
    </w:p>
    <w:p>
      <w:pPr>
        <w:pStyle w:val="BodyText"/>
      </w:pPr>
      <w:r>
        <w:rPr>
          <w:bCs/>
          <w:b/>
        </w:rPr>
        <w:t xml:space="preserve">Date of Issue:</w:t>
      </w:r>
      <w:r>
        <w:t xml:space="preserve"> </w:t>
      </w:r>
      <w:r>
        <w:t xml:space="preserve">15 June 2025</w:t>
      </w:r>
    </w:p>
    <w:p>
      <w:pPr>
        <w:pStyle w:val="BodyText"/>
      </w:pPr>
      <w:r>
        <w:rPr>
          <w:bCs/>
          <w:b/>
        </w:rPr>
        <w:t xml:space="preserve">Delivery/Commencement Date:</w:t>
      </w:r>
      <w:r>
        <w:t xml:space="preserve"> </w:t>
      </w:r>
      <w:r>
        <w:t xml:space="preserve">1 July 2025</w:t>
      </w:r>
    </w:p>
    <w:p>
      <w:pPr>
        <w:pStyle w:val="BodyText"/>
      </w:pPr>
      <w:r>
        <w:rPr>
          <w:bCs/>
          <w:b/>
        </w:rPr>
        <w:t xml:space="preserve">Project Location:</w:t>
      </w:r>
      <w:r>
        <w:t xml:space="preserve"> </w:t>
      </w:r>
      <w:r>
        <w:t xml:space="preserve">Eixample District, Barcelona, Catalonia, Spain</w:t>
      </w:r>
    </w:p>
    <w:p>
      <w:pPr>
        <w:pStyle w:val="BodyText"/>
      </w:pPr>
      <w:r>
        <w:rPr>
          <w:bCs/>
          <w:b/>
        </w:rPr>
        <w:t xml:space="preserve">Payment Terms:</w:t>
      </w:r>
      <w:r>
        <w:t xml:space="preserve"> </w:t>
      </w:r>
      <w:r>
        <w:t xml:space="preserve">30 days net from invoice date, in accordance with Spanish Royal Decree-Law 4/2013 on measures to combat late payment in commercial transactions</w:t>
      </w:r>
    </w:p>
    <w:p>
      <w:pPr>
        <w:pStyle w:val="BodyText"/>
      </w:pPr>
      <w:r>
        <w:rPr>
          <w:bCs/>
          <w:b/>
        </w:rPr>
        <w:t xml:space="preserve">Currency:</w:t>
      </w:r>
      <w:r>
        <w:t xml:space="preserve"> </w:t>
      </w:r>
      <w:r>
        <w:t xml:space="preserve">Euro (EUR)</w:t>
      </w:r>
    </w:p>
    <w:p>
      <w:pPr>
        <w:pStyle w:val="BodyText"/>
      </w:pPr>
      <w:r>
        <w:rPr>
          <w:bCs/>
          <w:b/>
        </w:rPr>
        <w:t xml:space="preserve">Applicable Law:</w:t>
      </w:r>
      <w:r>
        <w:t xml:space="preserve"> </w:t>
      </w:r>
      <w:r>
        <w:t xml:space="preserve">Spanish law, with specific reference to the Catalan Building Regulations (Decret 305/2006) and the Barcelona Municipal Urban Planning Regulations (Regulació Urbanística Municipal de Barcelona)</w:t>
      </w:r>
    </w:p>
    <w:p>
      <w:pPr>
        <w:pStyle w:val="BodyText"/>
      </w:pPr>
      <w:r>
        <w:t xml:space="preserve">Scope of Architectural Services</w:t>
      </w:r>
    </w:p>
    <w:p>
      <w:pPr>
        <w:pStyle w:val="BodyText"/>
      </w:pPr>
      <w:r>
        <w:t xml:space="preserve">This Purchase Order is issued by Barcelona Urban Development S.L. to Estudio Arquitectura Mediterrània S.L.P., a registered architectural firm practising in Barcelona, Spain, for the provision of comprehensive architectural design, technical coordination, and project management services for the mixed-use residential and commercial development located at Carrer de Balmes 142, Eixample, Barcelona. The Architect shall be responsible for all phases of the project from conceptual design through to final handover, in full compliance with the Barcelona City Council (Ajuntament de Barcelona) building permit requirements and all applicable Spanish and Catalan building codes.</w:t>
      </w:r>
    </w:p>
    <w:p>
      <w:pPr>
        <w:pStyle w:val="BodyText"/>
      </w:pPr>
      <w:r>
        <w:t xml:space="preserve">Line Items &amp;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Description of Architectural Service</w:t>
            </w:r>
          </w:p>
        </w:tc>
        <w:tc>
          <w:tcPr/>
          <w:p>
            <w:pPr>
              <w:pStyle w:val="Compact"/>
              <w:jc w:val="left"/>
            </w:pPr>
            <w:r>
              <w:t xml:space="preserve">Phase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Conceptual Design &amp; Feasibility Study for mixed-use development (residential + commercial), including site analysis of the Eixample plot in Barcelona</w:t>
            </w:r>
          </w:p>
        </w:tc>
        <w:tc>
          <w:tcPr/>
          <w:p>
            <w:pPr>
              <w:pStyle w:val="Compact"/>
              <w:jc w:val="left"/>
            </w:pPr>
            <w:r>
              <w:t xml:space="preserve">Phase 1</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Preliminary Design Development, including 3D visualisations, material specifications compliant with Barcelona sustainability standards, and structural coordination</w:t>
            </w:r>
          </w:p>
        </w:tc>
        <w:tc>
          <w:tcPr/>
          <w:p>
            <w:pPr>
              <w:pStyle w:val="Compact"/>
              <w:jc w:val="left"/>
            </w:pPr>
            <w:r>
              <w:t xml:space="preserve">Phase 2</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78,500.00</w:t>
            </w:r>
          </w:p>
        </w:tc>
        <w:tc>
          <w:tcPr/>
          <w:p>
            <w:pPr>
              <w:pStyle w:val="Compact"/>
              <w:jc w:val="left"/>
            </w:pPr>
            <w:r>
              <w:t xml:space="preserve">78,500.00</w:t>
            </w:r>
          </w:p>
        </w:tc>
      </w:tr>
      <w:tr>
        <w:tc>
          <w:tcPr/>
          <w:p>
            <w:pPr>
              <w:pStyle w:val="Compact"/>
              <w:jc w:val="left"/>
            </w:pPr>
            <w:r>
              <w:t xml:space="preserve">03</w:t>
            </w:r>
          </w:p>
        </w:tc>
        <w:tc>
          <w:tcPr/>
          <w:p>
            <w:pPr>
              <w:pStyle w:val="Compact"/>
              <w:jc w:val="left"/>
            </w:pPr>
            <w:r>
              <w:t xml:space="preserve">Detailed Technical Documentation (Proyecto de Ejecución) for submission to the Barcelona City Council for building permit (Licencia de Obra Mayor)</w:t>
            </w:r>
          </w:p>
        </w:tc>
        <w:tc>
          <w:tcPr/>
          <w:p>
            <w:pPr>
              <w:pStyle w:val="Compact"/>
              <w:jc w:val="left"/>
            </w:pPr>
            <w:r>
              <w:t xml:space="preserve">Phase 3</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04</w:t>
            </w:r>
          </w:p>
        </w:tc>
        <w:tc>
          <w:tcPr/>
          <w:p>
            <w:pPr>
              <w:pStyle w:val="Compact"/>
              <w:jc w:val="left"/>
            </w:pPr>
            <w:r>
              <w:t xml:space="preserve">Construction Supervision &amp; Direction (Dirección Facultativa de Obra) for the full duration of construction, including weekly site inspections in Barcelona</w:t>
            </w:r>
          </w:p>
        </w:tc>
        <w:tc>
          <w:tcPr/>
          <w:p>
            <w:pPr>
              <w:pStyle w:val="Compact"/>
              <w:jc w:val="left"/>
            </w:pPr>
            <w:r>
              <w:t xml:space="preserve">Phase 4</w:t>
            </w:r>
          </w:p>
        </w:tc>
        <w:tc>
          <w:tcPr/>
          <w:p>
            <w:pPr>
              <w:pStyle w:val="Compact"/>
              <w:jc w:val="left"/>
            </w:pPr>
            <w:r>
              <w:t xml:space="preserve">Month</w:t>
            </w:r>
          </w:p>
        </w:tc>
        <w:tc>
          <w:tcPr/>
          <w:p>
            <w:pPr>
              <w:pStyle w:val="Compact"/>
              <w:jc w:val="left"/>
            </w:pPr>
            <w:r>
              <w:t xml:space="preserve">18</w:t>
            </w:r>
          </w:p>
        </w:tc>
        <w:tc>
          <w:tcPr/>
          <w:p>
            <w:pPr>
              <w:pStyle w:val="Compact"/>
              <w:jc w:val="left"/>
            </w:pPr>
            <w:r>
              <w:t xml:space="preserve">12,000.00</w:t>
            </w:r>
          </w:p>
        </w:tc>
        <w:tc>
          <w:tcPr/>
          <w:p>
            <w:pPr>
              <w:pStyle w:val="Compact"/>
              <w:jc w:val="left"/>
            </w:pPr>
            <w:r>
              <w:t xml:space="preserve">216,000.00</w:t>
            </w:r>
          </w:p>
        </w:tc>
      </w:tr>
      <w:tr>
        <w:tc>
          <w:tcPr/>
          <w:p>
            <w:pPr>
              <w:pStyle w:val="Compact"/>
              <w:jc w:val="left"/>
            </w:pPr>
            <w:r>
              <w:t xml:space="preserve">05</w:t>
            </w:r>
          </w:p>
        </w:tc>
        <w:tc>
          <w:tcPr/>
          <w:p>
            <w:pPr>
              <w:pStyle w:val="Compact"/>
              <w:jc w:val="left"/>
            </w:pPr>
            <w:r>
              <w:t xml:space="preserve">Final As-Built Documentation, Energy Certificate (Certificado de Eficiencia Energética), and handover to Barcelona Urban Development S.L.</w:t>
            </w:r>
          </w:p>
        </w:tc>
        <w:tc>
          <w:tcPr/>
          <w:p>
            <w:pPr>
              <w:pStyle w:val="Compact"/>
              <w:jc w:val="left"/>
            </w:pPr>
            <w:r>
              <w:t xml:space="preserve">Phase 5</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06</w:t>
            </w:r>
          </w:p>
        </w:tc>
        <w:tc>
          <w:tcPr/>
          <w:p>
            <w:pPr>
              <w:pStyle w:val="Compact"/>
              <w:jc w:val="left"/>
            </w:pPr>
            <w:r>
              <w:t xml:space="preserve">Coordination with Spanish structural engineers, MEP consultants, and landscape architects for the Barcelona project</w:t>
            </w:r>
          </w:p>
        </w:tc>
        <w:tc>
          <w:tcPr/>
          <w:p>
            <w:pPr>
              <w:pStyle w:val="Compact"/>
              <w:jc w:val="left"/>
            </w:pPr>
            <w:r>
              <w:t xml:space="preserve">All Phases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gridSpan w:val="6"/>
          </w:tcPr>
          <w:p>
            <w:pPr>
              <w:pStyle w:val="Compact"/>
              <w:jc w:val="left"/>
            </w:pPr>
            <w:r>
              <w:t xml:space="preserve">Subtotal</w:t>
            </w:r>
          </w:p>
        </w:tc>
        <w:tc>
          <w:tcPr/>
          <w:p>
            <w:pPr>
              <w:pStyle w:val="Compact"/>
              <w:jc w:val="left"/>
            </w:pPr>
            <w:r>
              <w:t xml:space="preserve">525,000.00</w:t>
            </w:r>
          </w:p>
        </w:tc>
      </w:tr>
      <w:tr>
        <w:tc>
          <w:tcPr>
            <w:gridSpan w:val="6"/>
          </w:tcPr>
          <w:p>
            <w:pPr>
              <w:pStyle w:val="Compact"/>
              <w:jc w:val="left"/>
            </w:pPr>
            <w:r>
              <w:t xml:space="preserve">VAT (IVA) at 21% (Spanish standard rate)</w:t>
            </w:r>
          </w:p>
        </w:tc>
        <w:tc>
          <w:tcPr/>
          <w:p>
            <w:pPr>
              <w:pStyle w:val="Compact"/>
              <w:jc w:val="left"/>
            </w:pPr>
            <w:r>
              <w:t xml:space="preserve">110,250.00</w:t>
            </w:r>
          </w:p>
        </w:tc>
      </w:tr>
      <w:tr>
        <w:tc>
          <w:tcPr>
            <w:gridSpan w:val="6"/>
          </w:tcPr>
          <w:p>
            <w:pPr>
              <w:pStyle w:val="Compact"/>
              <w:jc w:val="left"/>
            </w:pPr>
            <w:r>
              <w:rPr>
                <w:bCs/>
                <w:b/>
              </w:rPr>
              <w:t xml:space="preserve">TOTAL AMOUNT DUE (EUR)</w:t>
            </w:r>
          </w:p>
        </w:tc>
        <w:tc>
          <w:tcPr/>
          <w:p>
            <w:pPr>
              <w:pStyle w:val="Compact"/>
              <w:jc w:val="left"/>
            </w:pPr>
            <w:r>
              <w:rPr>
                <w:bCs/>
                <w:b/>
              </w:rPr>
              <w:t xml:space="preserve">635,250.00</w:t>
            </w:r>
          </w:p>
        </w:tc>
      </w:tr>
    </w:tbl>
    <w:p>
      <w:pPr>
        <w:pStyle w:val="BodyText"/>
      </w:pPr>
      <w:r>
        <w:t xml:space="preserve">All prices are exclusive of VAT. VAT is applied at the standard Spanish rate of 21% as per Ley 37/1992 del Impuesto sobre el Valor Añadido. The Architect is registered with the Agencia Tributaria in Barcelona, Catalonia.</w:t>
      </w:r>
    </w:p>
    <w:p>
      <w:pPr>
        <w:pStyle w:val="BodyText"/>
      </w:pPr>
      <w:r>
        <w:t xml:space="preserve">Terms &amp; Conditions</w:t>
      </w:r>
    </w:p>
    <w:p>
      <w:pPr>
        <w:pStyle w:val="BodyText"/>
      </w:pPr>
      <w:r>
        <w:rPr>
          <w:bCs/>
          <w:b/>
        </w:rPr>
        <w:t xml:space="preserve">1. Professional Registration:</w:t>
      </w:r>
      <w:r>
        <w:t xml:space="preserve"> </w:t>
      </w:r>
      <w:r>
        <w:t xml:space="preserve">The Architect, Estudio Arquitectura Mediterrània S.L.P., confirms that all lead professionals are duly registered with the Col·legi d'Arquitectes de Catalunya (COAC) and hold valid professional liability insurance in accordance with Spanish professional regulations. The Architect's professional seal and COAC registration number shall appear on all submitted documentation.</w:t>
      </w:r>
    </w:p>
    <w:p>
      <w:pPr>
        <w:pStyle w:val="BodyText"/>
      </w:pPr>
      <w:r>
        <w:rPr>
          <w:bCs/>
          <w:b/>
        </w:rPr>
        <w:t xml:space="preserve">2. Intellectual Property:</w:t>
      </w:r>
      <w:r>
        <w:t xml:space="preserve"> </w:t>
      </w:r>
      <w:r>
        <w:t xml:space="preserve">All architectural drawings, designs, 3D models, and technical documentation produced under this Purchase Order for the Barcelona project shall become the exclusive property of Barcelona Urban Development S.L. upon full payment. The Architect retains the right to reference the completed project in professional portfolios subject to prior written approval from the Purchaser.</w:t>
      </w:r>
    </w:p>
    <w:p>
      <w:pPr>
        <w:pStyle w:val="BodyText"/>
      </w:pPr>
      <w:r>
        <w:rPr>
          <w:bCs/>
          <w:b/>
        </w:rPr>
        <w:t xml:space="preserve">3. Compliance with Barcelona Regulations:</w:t>
      </w:r>
      <w:r>
        <w:t xml:space="preserve"> </w:t>
      </w:r>
      <w:r>
        <w:t xml:space="preserve">The Architect warrants that all deliverables shall comply with the Barcelona Municipal Urban Planning Regulations, the Catalan Building Regulations (Decret 305/2006), the Spanish Technical Building Code (CTE), and all applicable environmental and accessibility standards (Ley 39/2007 de Accesibilidad). Any non-compliance identified by the Barcelona City Council shall be rectified by the Architect at no additional cost to the Purchaser.</w:t>
      </w:r>
    </w:p>
    <w:p>
      <w:pPr>
        <w:pStyle w:val="BodyText"/>
      </w:pPr>
      <w:r>
        <w:rPr>
          <w:bCs/>
          <w:b/>
        </w:rPr>
        <w:t xml:space="preserve">4. Payment Schedule:</w:t>
      </w:r>
      <w:r>
        <w:t xml:space="preserve"> </w:t>
      </w:r>
      <w:r>
        <w:t xml:space="preserve">Payments shall be made in accordance with the phase milestones outlined in the line items above. Invoices shall be issued in EUR and submitted to the Purchaser's accounts department in Barcelona. Late payments shall accrue interest at the rate established by the Spanish Bank (Banco de España) in accordance with Royal Decree-Law 4/2013.</w:t>
      </w:r>
    </w:p>
    <w:p>
      <w:pPr>
        <w:pStyle w:val="BodyText"/>
      </w:pPr>
      <w:r>
        <w:rPr>
          <w:bCs/>
          <w:b/>
        </w:rPr>
        <w:t xml:space="preserve">5. Termination:</w:t>
      </w:r>
      <w:r>
        <w:t xml:space="preserve"> </w:t>
      </w:r>
      <w:r>
        <w:t xml:space="preserve">Either party may terminate this Purchase Order with 60 days' written notice. In the event of termination, the Architect shall be compensated for all services rendered up to the termination date, plus a reasonable wind-down fee not exceeding 5% of the remaining contract value.</w:t>
      </w:r>
    </w:p>
    <w:p>
      <w:pPr>
        <w:pStyle w:val="BodyText"/>
      </w:pPr>
      <w:r>
        <w:rPr>
          <w:bCs/>
          <w:b/>
        </w:rPr>
        <w:t xml:space="preserve">6. Dispute Resolution:</w:t>
      </w:r>
      <w:r>
        <w:t xml:space="preserve"> </w:t>
      </w:r>
      <w:r>
        <w:t xml:space="preserve">Any disputes arising from this Purchase Order shall be resolved through mediation in Barcelona, Spain, in accordance with the provisions of the Spanish Arbitration Act (Ley 60/2003). Failing mediation, disputes shall be submitted to the competent courts of Barcelona, Spain.</w:t>
      </w:r>
    </w:p>
    <w:p>
      <w:pPr>
        <w:pStyle w:val="BodyText"/>
      </w:pPr>
      <w:r>
        <w:rPr>
          <w:bCs/>
          <w:b/>
        </w:rPr>
        <w:t xml:space="preserve">7. Confidentiality:</w:t>
      </w:r>
      <w:r>
        <w:t xml:space="preserve"> </w:t>
      </w:r>
      <w:r>
        <w:t xml:space="preserve">Both parties agree to maintain strict confidentiality regarding all project details, financial terms, and proprietary information exchanged in connection with this Purchase Order for the Barcelona development project.</w:t>
      </w:r>
    </w:p>
    <w:p>
      <w:pPr>
        <w:pStyle w:val="BodyText"/>
      </w:pPr>
      <w:r>
        <w:rPr>
          <w:bCs/>
          <w:b/>
        </w:rPr>
        <w:t xml:space="preserve">For and on behalf of the Purchaser:</w:t>
      </w:r>
    </w:p>
    <w:p>
      <w:pPr>
        <w:pStyle w:val="BodyText"/>
      </w:pPr>
      <w:r>
        <w:t xml:space="preserve">Barcelona Urban Development S.L.</w:t>
      </w:r>
    </w:p>
    <w:p>
      <w:pPr>
        <w:pStyle w:val="BodyText"/>
      </w:pPr>
      <w:r>
        <w:t xml:space="preserve">Mr. Jordi Ferrer</w:t>
      </w:r>
    </w:p>
    <w:p>
      <w:pPr>
        <w:pStyle w:val="BodyText"/>
      </w:pPr>
      <w:r>
        <w:t xml:space="preserve">Project Director</w:t>
      </w:r>
    </w:p>
    <w:p>
      <w:pPr>
        <w:pStyle w:val="BodyText"/>
      </w:pPr>
      <w:r>
        <w:t xml:space="preserve">Date: _______________</w:t>
      </w:r>
    </w:p>
    <w:p>
      <w:pPr>
        <w:pStyle w:val="BodyText"/>
      </w:pPr>
      <w:r>
        <w:rPr>
          <w:bCs/>
          <w:b/>
        </w:rPr>
        <w:t xml:space="preserve">For and on behalf of the Architect (Supplier):</w:t>
      </w:r>
    </w:p>
    <w:p>
      <w:pPr>
        <w:pStyle w:val="BodyText"/>
      </w:pPr>
      <w:r>
        <w:t xml:space="preserve">Estudio Arquitectura Mediterrània S.L.P.</w:t>
      </w:r>
    </w:p>
    <w:p>
      <w:pPr>
        <w:pStyle w:val="BodyText"/>
      </w:pPr>
      <w:r>
        <w:t xml:space="preserve">Arq. María del Carmen Soler</w:t>
      </w:r>
    </w:p>
    <w:p>
      <w:pPr>
        <w:pStyle w:val="BodyText"/>
      </w:pPr>
      <w:r>
        <w:t xml:space="preserve">Lead Architect, COAC No. 34521</w:t>
      </w:r>
    </w:p>
    <w:p>
      <w:pPr>
        <w:pStyle w:val="BodyText"/>
      </w:pPr>
      <w:r>
        <w:t xml:space="preserve">Date: _______________</w:t>
      </w:r>
    </w:p>
    <w:p>
      <w:pPr>
        <w:pStyle w:val="BodyText"/>
      </w:pPr>
      <w:r>
        <w:t xml:space="preserve">This Purchase Order was issued in Barcelona, Spain, and is governed by the laws of the Kingdom of Spain. All communications regarding this document shall be directed to the addresses specified above. This document constitutes a binding agreement upon signature by both parties. PO No.: ES-BCN-2025-04782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Architectural Services - Barcelona, Spain</dc:title>
  <dc:creator/>
  <dc:language>en</dc:language>
  <cp:keywords/>
  <dcterms:created xsi:type="dcterms:W3CDTF">2026-10-10T08:30:17Z</dcterms:created>
  <dcterms:modified xsi:type="dcterms:W3CDTF">2026-10-10T08:30:17Z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