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purchase-order"/>
    <w:p>
      <w:pPr>
        <w:pStyle w:val="Heading1"/>
      </w:pPr>
      <w:r>
        <w:t xml:space="preserve">PURCHASE ORDER</w:t>
      </w:r>
    </w:p>
    <w:p>
      <w:pPr>
        <w:pStyle w:val="FirstParagraph"/>
      </w:pPr>
      <w:r>
        <w:t xml:space="preserve">Architectural Design &amp; Consulting Services — Istanbul, Turkey</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Marmara Construction &amp; Development A.S.</w:t>
      </w:r>
      <w:r>
        <w:br/>
      </w:r>
      <w:r>
        <w:rPr>
          <w:bCs/>
          <w:b/>
        </w:rPr>
        <w:t xml:space="preserve">Address:</w:t>
      </w:r>
      <w:r>
        <w:t xml:space="preserve"> </w:t>
      </w:r>
      <w:r>
        <w:t xml:space="preserve">Levent Avenue No. 214, 34330 Çekmeköy, Istanbul, Turkey</w:t>
      </w:r>
      <w:r>
        <w:br/>
      </w:r>
      <w:r>
        <w:rPr>
          <w:bCs/>
          <w:b/>
        </w:rPr>
        <w:t xml:space="preserve">Tax ID (VKN):</w:t>
      </w:r>
      <w:r>
        <w:t xml:space="preserve"> </w:t>
      </w:r>
      <w:r>
        <w:t xml:space="preserve">1234567890</w:t>
      </w:r>
    </w:p>
    <w:p>
      <w:pPr>
        <w:pStyle w:val="BodyText"/>
      </w:pPr>
      <w:r>
        <w:rPr>
          <w:bCs/>
          <w:b/>
        </w:rPr>
        <w:t xml:space="preserve">Architect / Vendor:</w:t>
      </w:r>
      <w:r>
        <w:t xml:space="preserve"> </w:t>
      </w:r>
      <w:r>
        <w:t xml:space="preserve">Studio Bosphorus Architecture Ltd.</w:t>
      </w:r>
      <w:r>
        <w:br/>
      </w:r>
      <w:r>
        <w:rPr>
          <w:bCs/>
          <w:b/>
        </w:rPr>
        <w:t xml:space="preserve">Lead Architect:</w:t>
      </w:r>
      <w:r>
        <w:t xml:space="preserve"> </w:t>
      </w:r>
      <w:r>
        <w:t xml:space="preserve">Mimar Elif Kaya, M.Arch.</w:t>
      </w:r>
      <w:r>
        <w:br/>
      </w:r>
      <w:r>
        <w:rPr>
          <w:bCs/>
          <w:b/>
        </w:rPr>
        <w:t xml:space="preserve">Address:</w:t>
      </w:r>
      <w:r>
        <w:t xml:space="preserve"> </w:t>
      </w:r>
      <w:r>
        <w:t xml:space="preserve">Nišantašší Cd. No. 88, 34365 Çašıtlar, Çankaya, Istanbul, Turkey</w:t>
      </w:r>
      <w:r>
        <w:br/>
      </w:r>
      <w:r>
        <w:rPr>
          <w:bCs/>
          <w:b/>
        </w:rPr>
        <w:t xml:space="preserve">Tax ID (VKN):</w:t>
      </w:r>
      <w:r>
        <w:t xml:space="preserve"> </w:t>
      </w:r>
      <w:r>
        <w:t xml:space="preserve">9876543210</w:t>
      </w:r>
    </w:p>
    <w:bookmarkStart w:id="21" w:name="purpose-and-scope-of-purchase-order"/>
    <w:p>
      <w:pPr>
        <w:pStyle w:val="Heading2"/>
      </w:pPr>
      <w:r>
        <w:t xml:space="preserve">1. Purpose and Scope of Purchase Order</w:t>
      </w:r>
    </w:p>
    <w:p>
      <w:pPr>
        <w:pStyle w:val="FirstParagraph"/>
      </w:pPr>
      <w:r>
        <w:t xml:space="preserve">This Purchase Order is issued by Marmara Construction &amp; Development A.S. (hereinafter referred to as the "Client") to Studio Bosphorus Architecture Ltd. (hereinafter referred to as the "Architect") for the provision of comprehensive architectural design, structural planning, and urban consulting services for the "Bosphorus Gateway Residential Complex" project located in the Beöglü district of Istanbul, Turkey. This Purchase Order constitutes a binding contractual instrument under the Turkish Code of Obligations (Türk Borçlar Kanunu, Law No. 6098) and shall govern all professional services rendered by the Architect in connection with the aforementioned project.</w:t>
      </w:r>
    </w:p>
    <w:p>
      <w:pPr>
        <w:pStyle w:val="BodyText"/>
      </w:pPr>
      <w:r>
        <w:t xml:space="preserve">The Architect shall deliver all design documentation, technical drawings, and advisory reports in accordance with the Istanbul Metropolitan Municipality (İstanbul Büyükşehir Belediyesi) building regulations, the Turkish Building Law (İmar Kanunu, Law No. 3194), and the applicable zoning plans of the Beöglü municipality. All architectural deliverables must comply with the seismic design criteria established by the Turkish Earthquake Resistance Design Code (TBDY 2018) and the Istanbul-specific urban planning directives.</w:t>
      </w:r>
    </w:p>
    <w:bookmarkEnd w:id="21"/>
    <w:bookmarkStart w:id="22" w:name="line-items-and-service-breakdown"/>
    <w:p>
      <w:pPr>
        <w:pStyle w:val="Heading2"/>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 / Phase</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Pre-design feasibility study and site analysis for the Bosphorus Gateway plot, including topographical survey review, environmental impact assessment, and Istanbul zoning compliance verification.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Conceptual architectural design package: massing studies, 3D renderings, material palettes, and landscape integration plans for 12 residential towers and 3 commercial podiums.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Schematic design development: floor plans, elevations, sections, and structural coordination drawings for all 12 towers, prepared in compliance with Istanbul's height and setback regulations.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04</w:t>
            </w:r>
          </w:p>
        </w:tc>
        <w:tc>
          <w:tcPr/>
          <w:p>
            <w:pPr>
              <w:pStyle w:val="Compact"/>
              <w:jc w:val="left"/>
            </w:pPr>
            <w:r>
              <w:t xml:space="preserve">Detailed design and construction documentation: full set of architectural, MEP coordination, and interior design drawings suitable for Istanbul Metropolitan Municipality building permit submission.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05</w:t>
            </w:r>
          </w:p>
        </w:tc>
        <w:tc>
          <w:tcPr/>
          <w:p>
            <w:pPr>
              <w:pStyle w:val="Compact"/>
              <w:jc w:val="left"/>
            </w:pPr>
            <w:r>
              <w:t xml:space="preserve">Construction-phase architectural supervision and site visits: minimum 40 site inspections, progress reporting, and design clarification services throughout the 24-month construction period in Istanbul.</w:t>
            </w:r>
          </w:p>
        </w:tc>
        <w:tc>
          <w:tcPr/>
          <w:p>
            <w:pPr>
              <w:pStyle w:val="Compact"/>
              <w:jc w:val="left"/>
            </w:pPr>
            <w:r>
              <w:t xml:space="preserve">40</w:t>
            </w:r>
          </w:p>
        </w:tc>
        <w:tc>
          <w:tcPr/>
          <w:p>
            <w:pPr>
              <w:pStyle w:val="Compact"/>
              <w:jc w:val="left"/>
            </w:pPr>
            <w:r>
              <w:t xml:space="preserve">Visits</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06</w:t>
            </w:r>
          </w:p>
        </w:tc>
        <w:tc>
          <w:tcPr/>
          <w:p>
            <w:pPr>
              <w:pStyle w:val="Compact"/>
              <w:jc w:val="left"/>
            </w:pPr>
            <w:r>
              <w:t xml:space="preserve">Final as-built documentation, handover package, and post-occupancy evaluation report for the completed Bosphorus Gateway complex.</w:t>
            </w:r>
          </w:p>
        </w:tc>
        <w:tc>
          <w:tcPr/>
          <w:p>
            <w:pPr>
              <w:pStyle w:val="Compact"/>
              <w:jc w:val="left"/>
            </w:pPr>
            <w:r>
              <w:t xml:space="preserve">1</w:t>
            </w:r>
          </w:p>
        </w:tc>
        <w:tc>
          <w:tcPr/>
          <w:p>
            <w:pPr>
              <w:pStyle w:val="Compact"/>
              <w:jc w:val="left"/>
            </w:pPr>
            <w:r>
              <w:t xml:space="preserve">Phase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(TRY):</w:t>
            </w:r>
          </w:p>
        </w:tc>
        <w:tc>
          <w:tcPr/>
          <w:p>
            <w:pPr>
              <w:pStyle w:val="Compact"/>
              <w:jc w:val="left"/>
            </w:pPr>
            <w:r>
              <w:t xml:space="preserve">2,740,000.00</w:t>
            </w:r>
          </w:p>
        </w:tc>
      </w:tr>
      <w:tr>
        <w:tc>
          <w:tcPr>
            <w:gridSpan w:val="5"/>
          </w:tcPr>
          <w:p>
            <w:pPr>
              <w:pStyle w:val="Compact"/>
              <w:jc w:val="right"/>
            </w:pPr>
            <w:r>
              <w:t xml:space="preserve">VAT (KDV) — 20%:</w:t>
            </w:r>
          </w:p>
        </w:tc>
        <w:tc>
          <w:tcPr/>
          <w:p>
            <w:pPr>
              <w:pStyle w:val="Compact"/>
              <w:jc w:val="left"/>
            </w:pPr>
            <w:r>
              <w:t xml:space="preserve">548,000.00</w:t>
            </w:r>
          </w:p>
        </w:tc>
      </w:tr>
      <w:tr>
        <w:tc>
          <w:tcPr>
            <w:gridSpan w:val="5"/>
          </w:tcPr>
          <w:p>
            <w:pPr>
              <w:pStyle w:val="Compact"/>
              <w:jc w:val="right"/>
            </w:pPr>
            <w:r>
              <w:t xml:space="preserve">Grand Total (TRY):</w:t>
            </w:r>
          </w:p>
        </w:tc>
        <w:tc>
          <w:tcPr/>
          <w:p>
            <w:pPr>
              <w:pStyle w:val="Compact"/>
              <w:jc w:val="left"/>
            </w:pPr>
            <w:r>
              <w:t xml:space="preserve">3,288,000.00</w:t>
            </w:r>
          </w:p>
        </w:tc>
      </w:tr>
    </w:tbl>
    <w:bookmarkEnd w:id="22"/>
    <w:bookmarkStart w:id="23" w:name="payment-terms-and-schedule"/>
    <w:p>
      <w:pPr>
        <w:pStyle w:val="Heading2"/>
      </w:pPr>
      <w:r>
        <w:t xml:space="preserve">3. Payment Terms and Schedule</w:t>
      </w:r>
    </w:p>
    <w:p>
      <w:pPr>
        <w:pStyle w:val="FirstParagraph"/>
      </w:pPr>
      <w:r>
        <w:t xml:space="preserve">Payment for the architectural services outlined in this Purchase Order shall be made in Turkish Lira (TRY) via bank transfer to the Architect's designated account at Ziraat Bankası, Istanbul branch. The payment schedule is structured as follows: twenty percent (20%) upon execution of this Purchase Order; twenty-five percent (25%) upon approval of the conceptual design package; thirty percent (30%) upon submission of the detailed design documentation to the Istanbul Metropolitan Municipality; fifteen percent (15%) upon completion of construction-phase supervision; and ten percent (10%) upon delivery of the final as-built package. All invoices issued by the Architect must reference this Purchase Order number (PO-IST-2025-04782) and shall be payable within thirty (30) calendar days of receipt.</w:t>
      </w:r>
    </w:p>
    <w:bookmarkEnd w:id="23"/>
    <w:bookmarkStart w:id="24" w:name="terms-and-conditions"/>
    <w:p>
      <w:pPr>
        <w:pStyle w:val="Heading2"/>
      </w:pPr>
      <w:r>
        <w:t xml:space="preserve">4. Terms and Conditions</w:t>
      </w:r>
    </w:p>
    <w:p>
      <w:pPr>
        <w:numPr>
          <w:ilvl w:val="0"/>
          <w:numId w:val="1001"/>
        </w:numPr>
        <w:pStyle w:val="Compact"/>
      </w:pPr>
      <w:r>
        <w:t xml:space="preserve">The Architect warrants that all design deliverables shall be original, free from intellectual property infringement, and prepared in full compliance with the Turkish Building Law, Istanbul urban planning regulations, and the professional code of ethics of the Chamber of Architects of Istanbul (İstanbul Mimarlar Odası).</w:t>
      </w:r>
    </w:p>
    <w:p>
      <w:pPr>
        <w:numPr>
          <w:ilvl w:val="0"/>
          <w:numId w:val="1001"/>
        </w:numPr>
        <w:pStyle w:val="Compact"/>
      </w:pPr>
      <w:r>
        <w:t xml:space="preserve">The Architect shall maintain professional liability insurance with a minimum coverage of 5,000,000 TRY throughout the duration of this Purchase Order and shall provide a certificate of insurance upon request.</w:t>
      </w:r>
    </w:p>
    <w:p>
      <w:pPr>
        <w:numPr>
          <w:ilvl w:val="0"/>
          <w:numId w:val="1001"/>
        </w:numPr>
        <w:pStyle w:val="Compact"/>
      </w:pPr>
      <w:r>
        <w:t xml:space="preserve">All project files, drawings, and digital assets produced under this Purchase Order shall become the exclusive property of the Client upon full payment. The Architect retains the right to reference the project in professional portfolios with prior written consent from the Client.</w:t>
      </w:r>
    </w:p>
    <w:p>
      <w:pPr>
        <w:numPr>
          <w:ilvl w:val="0"/>
          <w:numId w:val="1001"/>
        </w:numPr>
        <w:pStyle w:val="Compact"/>
      </w:pPr>
      <w:r>
        <w:t xml:space="preserve">Any changes to the scope of architectural services beyond the parameters defined in this Purchase Order shall require a written change order signed by both parties. No additional work shall be performed without such authorization.</w:t>
      </w:r>
    </w:p>
    <w:p>
      <w:pPr>
        <w:numPr>
          <w:ilvl w:val="0"/>
          <w:numId w:val="1001"/>
        </w:numPr>
        <w:pStyle w:val="Compact"/>
      </w:pPr>
      <w:r>
        <w:t xml:space="preserve">The Architect shall comply with all applicable data protection requirements under the Turkish Personal Data Protection Law (KVKK, Law No. 6698) when handling any personal information encountered during the project.</w:t>
      </w:r>
    </w:p>
    <w:p>
      <w:pPr>
        <w:numPr>
          <w:ilvl w:val="0"/>
          <w:numId w:val="1001"/>
        </w:numPr>
        <w:pStyle w:val="Compact"/>
      </w:pPr>
      <w:r>
        <w:t xml:space="preserve">Disputes arising from this Purchase Order shall be resolved through arbitration in Istanbul, Turkey, in accordance with the rules of the Istanbul Arbitration Institute (ISTAC). The governing law of this Purchase Order is the law of the Republic of Turkey.</w:t>
      </w:r>
    </w:p>
    <w:p>
      <w:pPr>
        <w:numPr>
          <w:ilvl w:val="0"/>
          <w:numId w:val="1001"/>
        </w:numPr>
        <w:pStyle w:val="Compact"/>
      </w:pPr>
      <w:r>
        <w:t xml:space="preserve">The Architect shall not subcontract any portion of the architectural design services without the prior written approval of the Client. Any approved subcontractors shall be bound by the same terms and conditions set forth in this Purchase Order.</w:t>
      </w:r>
    </w:p>
    <w:p>
      <w:pPr>
        <w:numPr>
          <w:ilvl w:val="0"/>
          <w:numId w:val="1001"/>
        </w:numPr>
        <w:pStyle w:val="Compact"/>
      </w:pPr>
      <w:r>
        <w:t xml:space="preserve">Force majeure events, including but not limited to natural disasters affecting the Istanbul region, shall be governed by Article 136 of the Turkish Code of Obligations. Neither party shall be liable for delays caused by such events, provided that written notice is given within five (5) business days.</w:t>
      </w:r>
    </w:p>
    <w:bookmarkEnd w:id="24"/>
    <w:bookmarkStart w:id="25" w:name="project-timeline-and-milestones"/>
    <w:p>
      <w:pPr>
        <w:pStyle w:val="Heading2"/>
      </w:pPr>
      <w:r>
        <w:t xml:space="preserve">5. Project Timeline and Milestones</w:t>
      </w:r>
    </w:p>
    <w:p>
      <w:pPr>
        <w:pStyle w:val="FirstParagraph"/>
      </w:pPr>
      <w:r>
        <w:t xml:space="preserve">The Architect shall adhere to the following milestone schedule for the Bosphorus Gateway project in Istanbul: Pre-design study completion by 15 August 2025; Conceptual design approval by 30 October 2025; Schematic design delivery by 31 January 2026; Detailed design and permit documentation by 30 April 2026; Construction supervision from May 2026 through April 2028; and Final as-built package delivery by 30 June 2028. Failure to meet any milestone without approved extension shall result in a penalty of 0.5% of the corresponding phase value per calendar day of delay, capped at 10% of that phase value.</w:t>
      </w:r>
    </w:p>
    <w:bookmarkEnd w:id="25"/>
    <w:p>
      <w:pPr>
        <w:pStyle w:val="BodyText"/>
      </w:pPr>
      <w:r>
        <w:rPr>
          <w:bCs/>
          <w:b/>
        </w:rPr>
        <w:t xml:space="preserve">For and on behalf of the Client:</w:t>
      </w:r>
    </w:p>
    <w:p>
      <w:pPr>
        <w:pStyle w:val="BodyText"/>
      </w:pPr>
      <w:r>
        <w:t xml:space="preserve">Marmara Construction &amp; Development A.S.</w:t>
      </w:r>
    </w:p>
    <w:p>
      <w:pPr>
        <w:pStyle w:val="BodyText"/>
      </w:pPr>
      <w:r>
        <w:t xml:space="preserve">Name: Ahmet Yılmaz</w:t>
      </w:r>
      <w:r>
        <w:br/>
      </w:r>
      <w:r>
        <w:t xml:space="preserve">Title: General Manager</w:t>
      </w:r>
      <w:r>
        <w:br/>
      </w:r>
      <w:r>
        <w:t xml:space="preserve">Signature &amp; Company Stamp</w:t>
      </w:r>
    </w:p>
    <w:p>
      <w:pPr>
        <w:pStyle w:val="BodyText"/>
      </w:pPr>
      <w:r>
        <w:rPr>
          <w:bCs/>
          <w:b/>
        </w:rPr>
        <w:t xml:space="preserve">For and on behalf of the Architect:</w:t>
      </w:r>
    </w:p>
    <w:p>
      <w:pPr>
        <w:pStyle w:val="BodyText"/>
      </w:pPr>
      <w:r>
        <w:t xml:space="preserve">Studio Bosphorus Architecture Ltd.</w:t>
      </w:r>
    </w:p>
    <w:p>
      <w:pPr>
        <w:pStyle w:val="BodyText"/>
      </w:pPr>
      <w:r>
        <w:t xml:space="preserve">Name: Mimar Elif Kaya, M.Arch.</w:t>
      </w:r>
      <w:r>
        <w:br/>
      </w:r>
      <w:r>
        <w:t xml:space="preserve">Title: Lead Architect &amp; Principal</w:t>
      </w:r>
      <w:r>
        <w:br/>
      </w:r>
      <w:r>
        <w:t xml:space="preserve">Signature &amp; Company Stamp</w:t>
      </w:r>
    </w:p>
    <w:p>
      <w:pPr>
        <w:pStyle w:val="BodyText"/>
      </w:pPr>
      <w:r>
        <w:t xml:space="preserve">[ OFFICIAL COMPANY STAMP — MARMARA CONSTRUCTION &amp; DEVELOPMENT A.S. — İSTANBUL, TÜRKİYE ]</w:t>
      </w:r>
    </w:p>
    <w:p>
      <w:pPr>
        <w:pStyle w:val="BodyText"/>
      </w:pPr>
      <w:r>
        <w:t xml:space="preserve">This Purchase Order (PO-IST-2025-04782) is issued in two (2) original copies, one for the Client and one for the Architect, both bearing equal legal validity under Turkish law. This document is valid only when signed and stamped by both parties. For any inquiries regarding this Purchase Order, please contact the Procurement Department of Marmara Construction &amp; Development A.S., Levent, Istanbul, Turkey. © 2025 Marmara Construction &amp; Development 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Istanbul, Turkey</dc:title>
  <dc:creator/>
  <dc:language>en</dc:language>
  <cp:keywords/>
  <dcterms:created xsi:type="dcterms:W3CDTF">2026-10-10T03:01:04Z</dcterms:created>
  <dcterms:modified xsi:type="dcterms:W3CDTF">2026-10-10T03:01:04Z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