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Architect</w:t>
      </w:r>
      <w:r>
        <w:t xml:space="preserve"> </w:t>
      </w:r>
      <w:r>
        <w:t xml:space="preserve">Services</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0" w:name="purchase-order"/>
    <w:p>
      <w:pPr>
        <w:pStyle w:val="Heading1"/>
      </w:pPr>
      <w:r>
        <w:t xml:space="preserve">PURCHASE ORDER</w:t>
      </w:r>
    </w:p>
    <w:p>
      <w:pPr>
        <w:pStyle w:val="FirstParagraph"/>
      </w:pPr>
      <w:r>
        <w:t xml:space="preserve">Architectural Design &amp; Consultation Services — United Arab Emirates, Abu Dhabi</w:t>
      </w:r>
    </w:p>
    <w:p>
      <w:pPr>
        <w:pStyle w:val="BodyText"/>
      </w:pPr>
      <w:r>
        <w:t xml:space="preserve">PO-ADH-2025-04782</w:t>
      </w:r>
    </w:p>
    <w:bookmarkEnd w:id="20"/>
    <w:p>
      <w:pPr>
        <w:pStyle w:val="BodyText"/>
      </w:pPr>
      <w:r>
        <w:rPr>
          <w:bCs/>
          <w:b/>
        </w:rPr>
        <w:t xml:space="preserve">Purchase Order No.:</w:t>
      </w:r>
      <w:r>
        <w:t xml:space="preserve"> </w:t>
      </w:r>
      <w:r>
        <w:t xml:space="preserve">PO-ADH-2025-04782</w:t>
      </w:r>
    </w:p>
    <w:p>
      <w:pPr>
        <w:pStyle w:val="BodyText"/>
      </w:pPr>
      <w:r>
        <w:rPr>
          <w:bCs/>
          <w:b/>
        </w:rPr>
        <w:t xml:space="preserve">Date of Issue:</w:t>
      </w:r>
      <w:r>
        <w:t xml:space="preserve"> </w:t>
      </w:r>
      <w:r>
        <w:t xml:space="preserve">14 June 2025</w:t>
      </w:r>
    </w:p>
    <w:p>
      <w:pPr>
        <w:pStyle w:val="BodyText"/>
      </w:pPr>
      <w:r>
        <w:rPr>
          <w:bCs/>
          <w:b/>
        </w:rPr>
        <w:t xml:space="preserve">Country / Emirate:</w:t>
      </w:r>
      <w:r>
        <w:t xml:space="preserve"> </w:t>
      </w:r>
      <w:r>
        <w:t xml:space="preserve">United Arab Emirates — Abu Dhabi</w:t>
      </w:r>
    </w:p>
    <w:p>
      <w:pPr>
        <w:pStyle w:val="BodyText"/>
      </w:pPr>
      <w:r>
        <w:rPr>
          <w:bCs/>
          <w:b/>
        </w:rPr>
        <w:t xml:space="preserve">Payment Currency:</w:t>
      </w:r>
      <w:r>
        <w:t xml:space="preserve"> </w:t>
      </w:r>
      <w:r>
        <w:t xml:space="preserve">AED (United Arab Emirates Dirham)</w:t>
      </w:r>
    </w:p>
    <w:bookmarkStart w:id="21" w:name="parties-to-this-purchase-order"/>
    <w:p>
      <w:pPr>
        <w:pStyle w:val="Heading2"/>
      </w:pPr>
      <w:r>
        <w:t xml:space="preserve">1. Parties to This Purchase Order</w:t>
      </w:r>
    </w:p>
    <w:tbl>
      <w:tblPr>
        <w:tblStyle w:val="Table"/>
        <w:tblW w:type="pct" w:w="500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 Name</w:t>
            </w:r>
          </w:p>
        </w:tc>
        <w:tc>
          <w:tcPr/>
          <w:p>
            <w:pPr>
              <w:pStyle w:val="Compact"/>
              <w:jc w:val="left"/>
            </w:pPr>
            <w:r>
              <w:t xml:space="preserve">Address &amp; Contact</w:t>
            </w:r>
          </w:p>
        </w:tc>
      </w:tr>
      <w:tr>
        <w:tc>
          <w:tcPr/>
          <w:p>
            <w:pPr>
              <w:pStyle w:val="Compact"/>
              <w:jc w:val="left"/>
            </w:pPr>
            <w:r>
              <w:rPr>
                <w:bCs/>
                <w:b/>
              </w:rPr>
              <w:t xml:space="preserve">Buyer (Client)</w:t>
            </w:r>
          </w:p>
        </w:tc>
        <w:tc>
          <w:tcPr/>
          <w:p>
            <w:pPr>
              <w:pStyle w:val="Compact"/>
              <w:jc w:val="left"/>
            </w:pPr>
            <w:r>
              <w:t xml:space="preserve">Al Noor Development LLC</w:t>
            </w:r>
          </w:p>
        </w:tc>
        <w:tc>
          <w:tcPr/>
          <w:p>
            <w:pPr>
              <w:pStyle w:val="Compact"/>
              <w:jc w:val="left"/>
            </w:pPr>
            <w:r>
              <w:t xml:space="preserve">Office 1204, Level 12, Al Reem Island Tower, Abu Dhabi, United Arab Emirates</w:t>
            </w:r>
            <w:r>
              <w:br/>
            </w:r>
            <w:r>
              <w:t xml:space="preserve">TRN: 100234567800003</w:t>
            </w:r>
            <w:r>
              <w:br/>
            </w:r>
            <w:r>
              <w:t xml:space="preserve">Tel: +971-2-555-0142  |  Email: procurement@alnoordev.ae</w:t>
            </w:r>
          </w:p>
        </w:tc>
      </w:tr>
      <w:tr>
        <w:tc>
          <w:tcPr/>
          <w:p>
            <w:pPr>
              <w:pStyle w:val="Compact"/>
              <w:jc w:val="left"/>
            </w:pPr>
            <w:r>
              <w:rPr>
                <w:bCs/>
                <w:b/>
              </w:rPr>
              <w:t xml:space="preserve">Seller (Architect)</w:t>
            </w:r>
          </w:p>
        </w:tc>
        <w:tc>
          <w:tcPr/>
          <w:p>
            <w:pPr>
              <w:pStyle w:val="Compact"/>
              <w:jc w:val="left"/>
            </w:pPr>
            <w:r>
              <w:t xml:space="preserve">Studio Meridian Architecture &amp; Design FZ-LLC</w:t>
            </w:r>
          </w:p>
        </w:tc>
        <w:tc>
          <w:tcPr/>
          <w:p>
            <w:pPr>
              <w:pStyle w:val="Compact"/>
              <w:jc w:val="left"/>
            </w:pPr>
            <w:r>
              <w:t xml:space="preserve">Unit 7, Al Maryah Island Business Bay, Abu Dhabi, United Arab Emirates</w:t>
            </w:r>
            <w:r>
              <w:br/>
            </w:r>
            <w:r>
              <w:t xml:space="preserve">TRN: 100987654300003</w:t>
            </w:r>
            <w:r>
              <w:br/>
            </w:r>
            <w:r>
              <w:t xml:space="preserve">Tel: +971-2-444-8891  |  Email: projects@studiomeridian.ae</w:t>
            </w:r>
          </w:p>
        </w:tc>
      </w:tr>
    </w:tbl>
    <w:bookmarkEnd w:id="21"/>
    <w:bookmarkStart w:id="22" w:name="description-of-architect-services"/>
    <w:p>
      <w:pPr>
        <w:pStyle w:val="Heading2"/>
      </w:pPr>
      <w:r>
        <w:t xml:space="preserve">2. Description of Architect Services</w:t>
      </w:r>
    </w:p>
    <w:p>
      <w:pPr>
        <w:pStyle w:val="FirstParagraph"/>
      </w:pPr>
      <w:r>
        <w:t xml:space="preserve">This Purchase Order is issued by Al Noor Development LLC to engage the services of Studio Meridian Architecture &amp; Design FZ-LLC (hereinafter referred to as the</w:t>
      </w:r>
      <w:r>
        <w:t xml:space="preserve"> </w:t>
      </w:r>
      <w:r>
        <w:rPr>
          <w:bCs/>
          <w:b/>
        </w:rPr>
        <w:t xml:space="preserve">Architect</w:t>
      </w:r>
      <w:r>
        <w:t xml:space="preserve">) for the full architectural design, planning, and regulatory compliance of a mixed-use residential and commercial development project located on Al Reem Island, Abu Dhabi, United Arab Emirates. The Architect shall deliver all design documentation, construction drawings, and technical specifications in accordance with the Abu Dhabi Urban Planning and Building Regulations, the Abu Dhabi Department of Municipalities and Transport (DMT) building code requirements, and the applicable federal laws of the United Arab Emirates.</w:t>
      </w:r>
    </w:p>
    <w:p>
      <w:pPr>
        <w:pStyle w:val="BodyText"/>
      </w:pPr>
      <w:r>
        <w:t xml:space="preserve">The scope of the Architect's engagement under this Purchase Order includes, but is not limited to: conceptual design development, schematic design, detailed architectural design, structural coordination, MEP (Mechanical, Electrical, and Plumbing) coordination, interior design direction, landscape architecture integration, and full submission of all plans and permits to the Abu Dhabi DMT and relevant municipal authorities. The Architect shall also attend all mandatory coordination meetings with the Abu Dhabi Urban Planning Council and ensure that the final design complies with the Abu Dhabi Planning and Building Code, the UAE Federal Building Regulations, and all sustainability guidelines issued by the Abu Dhabi Sustainability Reporting Framework.</w:t>
      </w:r>
    </w:p>
    <w:bookmarkEnd w:id="22"/>
    <w:bookmarkStart w:id="23" w:name="line-items-pricing"/>
    <w:p>
      <w:pPr>
        <w:pStyle w:val="Heading2"/>
      </w:pPr>
      <w:r>
        <w:t xml:space="preserve">3. Line Items &amp;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Architect Service</w:t>
            </w:r>
          </w:p>
        </w:tc>
        <w:tc>
          <w:tcPr/>
          <w:p>
            <w:pPr>
              <w:pStyle w:val="Compact"/>
              <w:jc w:val="left"/>
            </w:pPr>
            <w:r>
              <w:t xml:space="preserve">Quantity / Phase</w:t>
            </w:r>
          </w:p>
        </w:tc>
        <w:tc>
          <w:tcPr/>
          <w:p>
            <w:pPr>
              <w:pStyle w:val="Compact"/>
              <w:jc w:val="left"/>
            </w:pPr>
            <w:r>
              <w:t xml:space="preserve">Unit Rate (AED)</w:t>
            </w:r>
          </w:p>
        </w:tc>
        <w:tc>
          <w:tcPr/>
          <w:p>
            <w:pPr>
              <w:pStyle w:val="Compact"/>
              <w:jc w:val="left"/>
            </w:pPr>
            <w:r>
              <w:t xml:space="preserve">Amount (AED)</w:t>
            </w:r>
          </w:p>
        </w:tc>
      </w:tr>
      <w:tr>
        <w:tc>
          <w:tcPr/>
          <w:p>
            <w:pPr>
              <w:pStyle w:val="Compact"/>
              <w:jc w:val="left"/>
            </w:pPr>
            <w:r>
              <w:t xml:space="preserve">1</w:t>
            </w:r>
          </w:p>
        </w:tc>
        <w:tc>
          <w:tcPr/>
          <w:p>
            <w:pPr>
              <w:pStyle w:val="Compact"/>
              <w:jc w:val="left"/>
            </w:pPr>
            <w:r>
              <w:t xml:space="preserve">Conceptual Design &amp; Feasibility Study for 12-storey mixed-use tower, Al Reem Island, Abu Dhabi</w:t>
            </w:r>
          </w:p>
        </w:tc>
        <w:tc>
          <w:tcPr/>
          <w:p>
            <w:pPr>
              <w:pStyle w:val="Compact"/>
              <w:jc w:val="left"/>
            </w:pPr>
            <w:r>
              <w:t xml:space="preserve">1 Phase</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2</w:t>
            </w:r>
          </w:p>
        </w:tc>
        <w:tc>
          <w:tcPr/>
          <w:p>
            <w:pPr>
              <w:pStyle w:val="Compact"/>
              <w:jc w:val="left"/>
            </w:pPr>
            <w:r>
              <w:t xml:space="preserve">Schematic Design Development including massing studies, facade options, and urban context analysis per Abu Dhabi DMT guidelines</w:t>
            </w:r>
          </w:p>
        </w:tc>
        <w:tc>
          <w:tcPr/>
          <w:p>
            <w:pPr>
              <w:pStyle w:val="Compact"/>
              <w:jc w:val="left"/>
            </w:pPr>
            <w:r>
              <w:t xml:space="preserve">1 Phase</w:t>
            </w:r>
          </w:p>
        </w:tc>
        <w:tc>
          <w:tcPr/>
          <w:p>
            <w:pPr>
              <w:pStyle w:val="Compact"/>
              <w:jc w:val="left"/>
            </w:pPr>
            <w:r>
              <w:t xml:space="preserve">320,000.00</w:t>
            </w:r>
          </w:p>
        </w:tc>
        <w:tc>
          <w:tcPr/>
          <w:p>
            <w:pPr>
              <w:pStyle w:val="Compact"/>
              <w:jc w:val="left"/>
            </w:pPr>
            <w:r>
              <w:t xml:space="preserve">320,000.00</w:t>
            </w:r>
          </w:p>
        </w:tc>
      </w:tr>
      <w:tr>
        <w:tc>
          <w:tcPr/>
          <w:p>
            <w:pPr>
              <w:pStyle w:val="Compact"/>
              <w:jc w:val="left"/>
            </w:pPr>
            <w:r>
              <w:t xml:space="preserve">3</w:t>
            </w:r>
          </w:p>
        </w:tc>
        <w:tc>
          <w:tcPr/>
          <w:p>
            <w:pPr>
              <w:pStyle w:val="Compact"/>
              <w:jc w:val="left"/>
            </w:pPr>
            <w:r>
              <w:t xml:space="preserve">Detailed Architectural Design &amp; Construction Drawings (full set: architectural, structural, MEP, landscape)</w:t>
            </w:r>
          </w:p>
        </w:tc>
        <w:tc>
          <w:tcPr/>
          <w:p>
            <w:pPr>
              <w:pStyle w:val="Compact"/>
              <w:jc w:val="left"/>
            </w:pPr>
            <w:r>
              <w:t xml:space="preserve">1 Phase</w:t>
            </w:r>
          </w:p>
        </w:tc>
        <w:tc>
          <w:tcPr/>
          <w:p>
            <w:pPr>
              <w:pStyle w:val="Compact"/>
              <w:jc w:val="left"/>
            </w:pPr>
            <w:r>
              <w:t xml:space="preserve">750,000.00</w:t>
            </w:r>
          </w:p>
        </w:tc>
        <w:tc>
          <w:tcPr/>
          <w:p>
            <w:pPr>
              <w:pStyle w:val="Compact"/>
              <w:jc w:val="left"/>
            </w:pPr>
            <w:r>
              <w:t xml:space="preserve">750,000.00</w:t>
            </w:r>
          </w:p>
        </w:tc>
      </w:tr>
      <w:tr>
        <w:tc>
          <w:tcPr/>
          <w:p>
            <w:pPr>
              <w:pStyle w:val="Compact"/>
              <w:jc w:val="left"/>
            </w:pPr>
            <w:r>
              <w:t xml:space="preserve">4</w:t>
            </w:r>
          </w:p>
        </w:tc>
        <w:tc>
          <w:tcPr/>
          <w:p>
            <w:pPr>
              <w:pStyle w:val="Compact"/>
              <w:jc w:val="left"/>
            </w:pPr>
            <w:r>
              <w:t xml:space="preserve">Regulatory Submission &amp; Permitting Support with Abu Dhabi DMT, Abu Dhabi Urban Planning Council, and ADDC</w:t>
            </w:r>
          </w:p>
        </w:tc>
        <w:tc>
          <w:tcPr/>
          <w:p>
            <w:pPr>
              <w:pStyle w:val="Compact"/>
              <w:jc w:val="left"/>
            </w:pPr>
            <w:r>
              <w:t xml:space="preserve">1 Phase</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5</w:t>
            </w:r>
          </w:p>
        </w:tc>
        <w:tc>
          <w:tcPr/>
          <w:p>
            <w:pPr>
              <w:pStyle w:val="Compact"/>
              <w:jc w:val="left"/>
            </w:pPr>
            <w:r>
              <w:t xml:space="preserve">Construction Phase Architectural Supervision &amp; Site Visits (minimum 40 site visits over 18 months)</w:t>
            </w:r>
          </w:p>
        </w:tc>
        <w:tc>
          <w:tcPr/>
          <w:p>
            <w:pPr>
              <w:pStyle w:val="Compact"/>
              <w:jc w:val="left"/>
            </w:pPr>
            <w:r>
              <w:t xml:space="preserve">18 Months</w:t>
            </w:r>
          </w:p>
        </w:tc>
        <w:tc>
          <w:tcPr/>
          <w:p>
            <w:pPr>
              <w:pStyle w:val="Compact"/>
              <w:jc w:val="left"/>
            </w:pPr>
            <w:r>
              <w:t xml:space="preserve">45,000.00</w:t>
            </w:r>
          </w:p>
        </w:tc>
        <w:tc>
          <w:tcPr/>
          <w:p>
            <w:pPr>
              <w:pStyle w:val="Compact"/>
              <w:jc w:val="left"/>
            </w:pPr>
            <w:r>
              <w:t xml:space="preserve">810,000.00</w:t>
            </w:r>
          </w:p>
        </w:tc>
      </w:tr>
      <w:tr>
        <w:tc>
          <w:tcPr/>
          <w:p>
            <w:pPr>
              <w:pStyle w:val="Compact"/>
              <w:jc w:val="left"/>
            </w:pPr>
            <w:r>
              <w:t xml:space="preserve">6</w:t>
            </w:r>
          </w:p>
        </w:tc>
        <w:tc>
          <w:tcPr/>
          <w:p>
            <w:pPr>
              <w:pStyle w:val="Compact"/>
              <w:jc w:val="left"/>
            </w:pPr>
            <w:r>
              <w:t xml:space="preserve">Interior Design Direction &amp; FF&amp;E (Furniture, Fixtures &amp; Equipment) Specification for 240 residential units</w:t>
            </w:r>
          </w:p>
        </w:tc>
        <w:tc>
          <w:tcPr/>
          <w:p>
            <w:pPr>
              <w:pStyle w:val="Compact"/>
              <w:jc w:val="left"/>
            </w:pPr>
            <w:r>
              <w:t xml:space="preserve">1 Phase</w:t>
            </w:r>
          </w:p>
        </w:tc>
        <w:tc>
          <w:tcPr/>
          <w:p>
            <w:pPr>
              <w:pStyle w:val="Compact"/>
              <w:jc w:val="left"/>
            </w:pPr>
            <w:r>
              <w:t xml:space="preserve">275,000.00</w:t>
            </w:r>
          </w:p>
        </w:tc>
        <w:tc>
          <w:tcPr/>
          <w:p>
            <w:pPr>
              <w:pStyle w:val="Compact"/>
              <w:jc w:val="left"/>
            </w:pPr>
            <w:r>
              <w:t xml:space="preserve">275,000.00</w:t>
            </w:r>
          </w:p>
        </w:tc>
      </w:tr>
      <w:tr>
        <w:tc>
          <w:tcPr/>
          <w:p>
            <w:pPr>
              <w:pStyle w:val="Compact"/>
              <w:jc w:val="left"/>
            </w:pPr>
            <w:r>
              <w:t xml:space="preserve">7</w:t>
            </w:r>
          </w:p>
        </w:tc>
        <w:tc>
          <w:tcPr/>
          <w:p>
            <w:pPr>
              <w:pStyle w:val="Compact"/>
              <w:jc w:val="left"/>
            </w:pPr>
            <w:r>
              <w:t xml:space="preserve">Landscape Architecture &amp; External Works Design compliant with Abu Dhabi green space regulations</w:t>
            </w:r>
          </w:p>
        </w:tc>
        <w:tc>
          <w:tcPr/>
          <w:p>
            <w:pPr>
              <w:pStyle w:val="Compact"/>
              <w:jc w:val="left"/>
            </w:pPr>
            <w:r>
              <w:t xml:space="preserve">1 Phase</w:t>
            </w:r>
          </w:p>
        </w:tc>
        <w:tc>
          <w:tcPr/>
          <w:p>
            <w:pPr>
              <w:pStyle w:val="Compact"/>
              <w:jc w:val="left"/>
            </w:pPr>
            <w:r>
              <w:t xml:space="preserve">140,000.00</w:t>
            </w:r>
          </w:p>
        </w:tc>
        <w:tc>
          <w:tcPr/>
          <w:p>
            <w:pPr>
              <w:pStyle w:val="Compact"/>
              <w:jc w:val="left"/>
            </w:pPr>
            <w:r>
              <w:t xml:space="preserve">140,000.00</w:t>
            </w:r>
          </w:p>
        </w:tc>
      </w:tr>
      <w:tr>
        <w:tc>
          <w:tcPr/>
          <w:p>
            <w:pPr>
              <w:pStyle w:val="Compact"/>
              <w:jc w:val="left"/>
            </w:pPr>
            <w:r>
              <w:t xml:space="preserve">8</w:t>
            </w:r>
          </w:p>
        </w:tc>
        <w:tc>
          <w:tcPr/>
          <w:p>
            <w:pPr>
              <w:pStyle w:val="Compact"/>
              <w:jc w:val="left"/>
            </w:pPr>
            <w:r>
              <w:t xml:space="preserve">As-Built Documentation &amp; Final Handover Package to Abu Dhabi DMT</w:t>
            </w:r>
          </w:p>
        </w:tc>
        <w:tc>
          <w:tcPr/>
          <w:p>
            <w:pPr>
              <w:pStyle w:val="Compact"/>
              <w:jc w:val="left"/>
            </w:pPr>
            <w:r>
              <w:t xml:space="preserve">1 Phase</w:t>
            </w:r>
          </w:p>
        </w:tc>
        <w:tc>
          <w:tcPr/>
          <w:p>
            <w:pPr>
              <w:pStyle w:val="Compact"/>
              <w:jc w:val="left"/>
            </w:pPr>
            <w:r>
              <w:t xml:space="preserve">65,000.00</w:t>
            </w:r>
          </w:p>
        </w:tc>
        <w:tc>
          <w:tcPr/>
          <w:p>
            <w:pPr>
              <w:pStyle w:val="Compact"/>
              <w:jc w:val="left"/>
            </w:pPr>
            <w:r>
              <w:t xml:space="preserve">65,000.00</w:t>
            </w:r>
          </w:p>
        </w:tc>
      </w:tr>
      <w:tr>
        <w:tc>
          <w:tcPr>
            <w:gridSpan w:val="4"/>
          </w:tcPr>
          <w:p>
            <w:pPr>
              <w:pStyle w:val="Compact"/>
              <w:jc w:val="right"/>
            </w:pPr>
            <w:r>
              <w:t xml:space="preserve">Subtotal (AED)</w:t>
            </w:r>
          </w:p>
        </w:tc>
        <w:tc>
          <w:tcPr/>
          <w:p>
            <w:pPr>
              <w:pStyle w:val="Compact"/>
              <w:jc w:val="left"/>
            </w:pPr>
            <w:r>
              <w:t xml:space="preserve">2,640,000.00</w:t>
            </w:r>
          </w:p>
        </w:tc>
      </w:tr>
      <w:tr>
        <w:tc>
          <w:tcPr>
            <w:gridSpan w:val="4"/>
          </w:tcPr>
          <w:p>
            <w:pPr>
              <w:pStyle w:val="Compact"/>
              <w:jc w:val="right"/>
            </w:pPr>
            <w:r>
              <w:t xml:space="preserve">VAT @ 5% (United Arab Emirates)</w:t>
            </w:r>
          </w:p>
        </w:tc>
        <w:tc>
          <w:tcPr/>
          <w:p>
            <w:pPr>
              <w:pStyle w:val="Compact"/>
              <w:jc w:val="left"/>
            </w:pPr>
            <w:r>
              <w:t xml:space="preserve">132,000.00</w:t>
            </w:r>
          </w:p>
        </w:tc>
      </w:tr>
      <w:tr>
        <w:tc>
          <w:tcPr>
            <w:gridSpan w:val="4"/>
          </w:tcPr>
          <w:p>
            <w:pPr>
              <w:pStyle w:val="Compact"/>
              <w:jc w:val="right"/>
            </w:pPr>
            <w:r>
              <w:t xml:space="preserve">TOTAL AMOUNT DUE (AED)</w:t>
            </w:r>
          </w:p>
        </w:tc>
        <w:tc>
          <w:tcPr/>
          <w:p>
            <w:pPr>
              <w:pStyle w:val="Compact"/>
              <w:jc w:val="left"/>
            </w:pPr>
            <w:r>
              <w:t xml:space="preserve">2,772,000.00</w:t>
            </w:r>
          </w:p>
        </w:tc>
      </w:tr>
    </w:tbl>
    <w:bookmarkEnd w:id="23"/>
    <w:bookmarkStart w:id="24" w:name="payment-terms"/>
    <w:p>
      <w:pPr>
        <w:pStyle w:val="Heading2"/>
      </w:pPr>
      <w:r>
        <w:t xml:space="preserve">4. Payment Terms</w:t>
      </w:r>
    </w:p>
    <w:p>
      <w:pPr>
        <w:pStyle w:val="FirstParagraph"/>
      </w:pPr>
      <w:r>
        <w:t xml:space="preserve">All payments under this Purchase Order shall be made in United Arab Emirates Dirhams (AED) via bank transfer to the Architect's designated corporate bank account in Abu Dhabi. Payment milestones are as follows: 20% upon execution of this Purchase Order, 25% upon approval of Schematic Design by the Buyer, 30% upon submission of full Construction Drawings to Abu Dhabi DMT, 15% upon commencement of Construction Phase supervision, and 10% upon delivery of the As-Built package. Invoices shall be submitted monthly and are payable within thirty (30) calendar days of receipt. Late payments shall attract interest at the rate of 1.5% per month in accordance with UAE commercial practice.</w:t>
      </w:r>
    </w:p>
    <w:bookmarkEnd w:id="24"/>
    <w:bookmarkStart w:id="25" w:name="terms-conditions"/>
    <w:p>
      <w:pPr>
        <w:pStyle w:val="Heading2"/>
      </w:pPr>
      <w:r>
        <w:t xml:space="preserve">5. Terms &amp; Conditions</w:t>
      </w:r>
    </w:p>
    <w:p>
      <w:pPr>
        <w:numPr>
          <w:ilvl w:val="0"/>
          <w:numId w:val="1001"/>
        </w:numPr>
        <w:pStyle w:val="Compact"/>
      </w:pPr>
      <w:r>
        <w:t xml:space="preserve">This Purchase Order is governed by and shall be construed in accordance with the federal laws of the United Arab Emirates, including the UAE Civil Code (Federal Law No. 5 of 1985 as amended) and the UAE Commercial Transactions Law.</w:t>
      </w:r>
    </w:p>
    <w:p>
      <w:pPr>
        <w:numPr>
          <w:ilvl w:val="0"/>
          <w:numId w:val="1001"/>
        </w:numPr>
        <w:pStyle w:val="Compact"/>
      </w:pPr>
      <w:r>
        <w:t xml:space="preserve">The Architect warrants that all design deliverables shall comply with the Abu Dhabi Planning and Building Code, the Abu Dhabi DMT technical standards, and all applicable UAE federal and emirate-level regulations in force at the time of design and construction.</w:t>
      </w:r>
    </w:p>
    <w:p>
      <w:pPr>
        <w:numPr>
          <w:ilvl w:val="0"/>
          <w:numId w:val="1001"/>
        </w:numPr>
        <w:pStyle w:val="Compact"/>
      </w:pPr>
      <w:r>
        <w:t xml:space="preserve">The Architect shall maintain professional indemnity insurance with a minimum coverage of AED 5,000,000, valid throughout the duration of this Purchase Order, and shall provide a certificate of insurance upon request.</w:t>
      </w:r>
    </w:p>
    <w:p>
      <w:pPr>
        <w:numPr>
          <w:ilvl w:val="0"/>
          <w:numId w:val="1001"/>
        </w:numPr>
        <w:pStyle w:val="Compact"/>
      </w:pPr>
      <w:r>
        <w:t xml:space="preserve">All intellectual property rights in the design documents, drawings, and specifications produced under this Purchase Order shall vest in the Buyer upon full payment. The Architect retains the right to use the project for portfolio and marketing purposes subject to the Buyer's prior written consent.</w:t>
      </w:r>
    </w:p>
    <w:p>
      <w:pPr>
        <w:numPr>
          <w:ilvl w:val="0"/>
          <w:numId w:val="1001"/>
        </w:numPr>
        <w:pStyle w:val="Compact"/>
      </w:pPr>
      <w:r>
        <w:t xml:space="preserve">The Architect shall ensure that all project team members working on-site in Abu Dhabi hold valid UAE residency permits and, where applicable, professional registration with the Abu Dhabi Department of Municipalities and Transport or the relevant UAE professional body.</w:t>
      </w:r>
    </w:p>
    <w:p>
      <w:pPr>
        <w:numPr>
          <w:ilvl w:val="0"/>
          <w:numId w:val="1001"/>
        </w:numPr>
        <w:pStyle w:val="Compact"/>
      </w:pPr>
      <w:r>
        <w:t xml:space="preserve">Any disputes arising from this Purchase Order shall be resolved through arbitration in Abu Dhabi in accordance with the rules of the Abu Dhabi Global Market (ADGM) Arbitration Centre, or alternatively through the competent courts of Abu Dhabi, United Arab Emirates.</w:t>
      </w:r>
    </w:p>
    <w:p>
      <w:pPr>
        <w:numPr>
          <w:ilvl w:val="0"/>
          <w:numId w:val="1001"/>
        </w:numPr>
        <w:pStyle w:val="Compact"/>
      </w:pPr>
      <w:r>
        <w:t xml:space="preserve">This Purchase Order shall remain valid for a period of ninety (90) days from the date of issue. The Architect must confirm acceptance in writing within fourteen (14) days of receipt.</w:t>
      </w:r>
    </w:p>
    <w:p>
      <w:pPr>
        <w:numPr>
          <w:ilvl w:val="0"/>
          <w:numId w:val="1001"/>
        </w:numPr>
        <w:pStyle w:val="Compact"/>
      </w:pPr>
      <w:r>
        <w:t xml:space="preserve">The Architect shall not subcontract any portion of the architectural services without the prior written consent of the Buyer. Any approved subcontractor shall be bound by the same terms and conditions set forth in this Purchase Order.</w:t>
      </w:r>
    </w:p>
    <w:p>
      <w:pPr>
        <w:numPr>
          <w:ilvl w:val="0"/>
          <w:numId w:val="1001"/>
        </w:numPr>
        <w:pStyle w:val="Compact"/>
      </w:pPr>
      <w:r>
        <w:t xml:space="preserve">All communications, notices, and formal correspondence under this Purchase Order shall be in English. In the event of any translation, the English version shall prevail.</w:t>
      </w:r>
    </w:p>
    <w:p>
      <w:pPr>
        <w:numPr>
          <w:ilvl w:val="0"/>
          <w:numId w:val="1001"/>
        </w:numPr>
        <w:pStyle w:val="Compact"/>
      </w:pPr>
      <w:r>
        <w:t xml:space="preserve">This Purchase Order constitutes the entire agreement between the parties with respect to the architectural services described herein and supersedes all prior negotiations, representations, and agreements, whether written or oral.</w:t>
      </w:r>
    </w:p>
    <w:bookmarkEnd w:id="25"/>
    <w:p>
      <w:pPr>
        <w:pStyle w:val="FirstParagraph"/>
      </w:pPr>
      <w:r>
        <w:rPr>
          <w:bCs/>
          <w:b/>
        </w:rPr>
        <w:t xml:space="preserve">Note:</w:t>
      </w:r>
      <w:r>
        <w:t xml:space="preserve"> </w:t>
      </w:r>
      <w:r>
        <w:t xml:space="preserve">This Purchase Order is issued in compliance with the UAE Federal Tax Authority requirements. The 5% Value Added Tax (VAT) has been applied as per Federal Decree-Law No. 8 of 2017 on Value Added Tax in the United Arab Emirates. The Architect is required to issue a proper tax invoice for each payment milestone.</w:t>
      </w:r>
    </w:p>
    <w:p>
      <w:pPr>
        <w:pStyle w:val="BodyText"/>
      </w:pPr>
      <w:r>
        <w:rPr>
          <w:bCs/>
          <w:b/>
        </w:rPr>
        <w:t xml:space="preserve">For and on behalf of the Buyer:</w:t>
      </w:r>
    </w:p>
    <w:p>
      <w:pPr>
        <w:pStyle w:val="BodyText"/>
      </w:pPr>
      <w:r>
        <w:t xml:space="preserve">Al Noor Development LLC</w:t>
      </w:r>
    </w:p>
    <w:p>
      <w:pPr>
        <w:pStyle w:val="BodyText"/>
      </w:pPr>
      <w:r>
        <w:rPr>
          <w:bCs/>
          <w:b/>
        </w:rPr>
        <w:t xml:space="preserve">Name:</w:t>
      </w:r>
      <w:r>
        <w:t xml:space="preserve"> </w:t>
      </w:r>
      <w:r>
        <w:t xml:space="preserve">Khalid bin Saeed Al Mansoori</w:t>
      </w:r>
      <w:r>
        <w:br/>
      </w:r>
      <w:r>
        <w:rPr>
          <w:bCs/>
          <w:b/>
        </w:rPr>
        <w:t xml:space="preserve">Title:</w:t>
      </w:r>
      <w:r>
        <w:t xml:space="preserve"> </w:t>
      </w:r>
      <w:r>
        <w:t xml:space="preserve">Chief Procurement Officer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rPr>
          <w:bCs/>
          <w:b/>
        </w:rPr>
        <w:t xml:space="preserve">For and on behalf of the Architect (Seller):</w:t>
      </w:r>
    </w:p>
    <w:p>
      <w:pPr>
        <w:pStyle w:val="BodyText"/>
      </w:pPr>
      <w:r>
        <w:t xml:space="preserve">Studio Meridian Architecture &amp; Design FZ-LLC</w:t>
      </w:r>
    </w:p>
    <w:p>
      <w:pPr>
        <w:pStyle w:val="BodyText"/>
      </w:pPr>
      <w:r>
        <w:rPr>
          <w:bCs/>
          <w:b/>
        </w:rPr>
        <w:t xml:space="preserve">Name:</w:t>
      </w:r>
      <w:r>
        <w:t xml:space="preserve"> </w:t>
      </w:r>
      <w:r>
        <w:t xml:space="preserve">Dr. Layla Haddad, RIBA / UAE Registered Architect</w:t>
      </w:r>
      <w:r>
        <w:br/>
      </w:r>
      <w:r>
        <w:rPr>
          <w:bCs/>
          <w:b/>
        </w:rPr>
        <w:t xml:space="preserve">Title:</w:t>
      </w:r>
      <w:r>
        <w:t xml:space="preserve"> </w:t>
      </w:r>
      <w:r>
        <w:t xml:space="preserve">Principal Architect &amp; Managing Director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w:t>
      </w:r>
    </w:p>
    <w:p>
      <w:pPr>
        <w:pStyle w:val="BodyText"/>
      </w:pPr>
      <w:r>
        <w:t xml:space="preserve">Purchase Order PO-ADH-2025-04782 — Architect Services — United Arab Emirates, Abu Dhabi</w:t>
      </w:r>
      <w:r>
        <w:br/>
      </w:r>
      <w:r>
        <w:t xml:space="preserve">This document is issued by Al Noor Development LLC, Al Reem Island, Abu Dhabi, UAE. © 2025. All rights reserved.</w:t>
      </w:r>
      <w:r>
        <w:br/>
      </w:r>
      <w:r>
        <w:t xml:space="preserve">For queries regarding this Purchase Order, contact the Procurement Department at procurement@alnoordev.ae or +971-2-555-0142.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Architect Services - United Arab Emirates Abu Dhabi</dc:title>
  <dc:creator/>
  <dc:language>en</dc:language>
  <cp:keywords/>
  <dcterms:created xsi:type="dcterms:W3CDTF">2026-10-10T01:22:43Z</dcterms:created>
  <dcterms:modified xsi:type="dcterms:W3CDTF">2026-10-10T01:22:43Z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