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Architectural Design and Consultation Services</w:t>
      </w:r>
    </w:p>
    <w:p>
      <w:pPr>
        <w:pStyle w:val="BodyText"/>
      </w:pPr>
      <w:r>
        <w:t xml:space="preserve">United Arab Emirates — Dubai</w:t>
      </w:r>
    </w:p>
    <w:bookmarkEnd w:id="20"/>
    <w:p>
      <w:pPr>
        <w:pStyle w:val="BodyText"/>
      </w:pPr>
      <w:r>
        <w:rPr>
          <w:bCs/>
          <w:b/>
        </w:rPr>
        <w:t xml:space="preserve">Purchase Order No.:</w:t>
      </w:r>
      <w:r>
        <w:t xml:space="preserve"> </w:t>
      </w:r>
      <w:r>
        <w:t xml:space="preserve">PO-DXB-2025-04782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PRJ-DXB-RES-2025-114</w:t>
      </w:r>
      <w:r>
        <w:br/>
      </w:r>
      <w:r>
        <w:rPr>
          <w:bCs/>
          <w:b/>
        </w:rPr>
        <w:t xml:space="preserve">Payment Terms:</w:t>
      </w:r>
      <w:r>
        <w:t xml:space="preserve"> </w:t>
      </w:r>
      <w:r>
        <w:t xml:space="preserve">Net 30 Days</w:t>
      </w:r>
      <w:r>
        <w:br/>
      </w:r>
      <w:r>
        <w:rPr>
          <w:bCs/>
          <w:b/>
        </w:rPr>
        <w:t xml:space="preserve">Currency:</w:t>
      </w:r>
      <w:r>
        <w:t xml:space="preserve"> </w:t>
      </w:r>
      <w:r>
        <w:t xml:space="preserve">United Arab Emirates Dirham (AED)</w:t>
      </w:r>
    </w:p>
    <w:p>
      <w:pPr>
        <w:pStyle w:val="BodyText"/>
      </w:pPr>
      <w:r>
        <w:t xml:space="preserve">1. PARTIES TO THIS PURCHASE ORDER</w:t>
      </w:r>
    </w:p>
    <w:bookmarkStart w:id="21" w:name="purchaser-client"/>
    <w:p>
      <w:pPr>
        <w:pStyle w:val="Heading3"/>
      </w:pPr>
      <w:r>
        <w:t xml:space="preserve">Purchaser (Client)</w:t>
      </w:r>
    </w:p>
    <w:p>
      <w:pPr>
        <w:pStyle w:val="FirstParagraph"/>
      </w:pPr>
      <w:r>
        <w:rPr>
          <w:bCs/>
          <w:b/>
        </w:rPr>
        <w:t xml:space="preserve">Company Name:</w:t>
      </w:r>
      <w:r>
        <w:t xml:space="preserve"> </w:t>
      </w:r>
      <w:r>
        <w:t xml:space="preserve">Emirates Horizon Development LLC</w:t>
      </w:r>
      <w:r>
        <w:br/>
      </w:r>
      <w:r>
        <w:rPr>
          <w:bCs/>
          <w:b/>
        </w:rPr>
        <w:t xml:space="preserve">Trade License No.:</w:t>
      </w:r>
      <w:r>
        <w:t xml:space="preserve"> </w:t>
      </w:r>
      <w:r>
        <w:t xml:space="preserve">10458723</w:t>
      </w:r>
      <w:r>
        <w:br/>
      </w:r>
      <w:r>
        <w:rPr>
          <w:bCs/>
          <w:b/>
        </w:rPr>
        <w:t xml:space="preserve">Address:</w:t>
      </w:r>
      <w:r>
        <w:t xml:space="preserve"> </w:t>
      </w:r>
      <w:r>
        <w:t xml:space="preserve">Level 32, Burj Khalifa, Downtown Dubai, United Arab Emirates</w:t>
      </w:r>
      <w:r>
        <w:br/>
      </w:r>
      <w:r>
        <w:rPr>
          <w:bCs/>
          <w:b/>
        </w:rPr>
        <w:t xml:space="preserve">Phone:</w:t>
      </w:r>
      <w:r>
        <w:t xml:space="preserve"> </w:t>
      </w:r>
      <w:r>
        <w:t xml:space="preserve">+971 4 555 8821</w:t>
      </w:r>
      <w:r>
        <w:br/>
      </w:r>
      <w:r>
        <w:rPr>
          <w:bCs/>
          <w:b/>
        </w:rPr>
        <w:t xml:space="preserve">Email:</w:t>
      </w:r>
      <w:r>
        <w:t xml:space="preserve"> </w:t>
      </w:r>
      <w:r>
        <w:t xml:space="preserve">procurement@emirateshorizon.ae</w:t>
      </w:r>
      <w:r>
        <w:br/>
      </w:r>
      <w:r>
        <w:rPr>
          <w:bCs/>
          <w:b/>
        </w:rPr>
        <w:t xml:space="preserve">Authorized Signatory:</w:t>
      </w:r>
      <w:r>
        <w:t xml:space="preserve"> </w:t>
      </w:r>
      <w:r>
        <w:t xml:space="preserve">Mr. Khalid Al Mansoori, Chief Financial Officer</w:t>
      </w:r>
    </w:p>
    <w:bookmarkEnd w:id="21"/>
    <w:bookmarkStart w:id="22" w:name="supplier-architect"/>
    <w:p>
      <w:pPr>
        <w:pStyle w:val="Heading3"/>
      </w:pPr>
      <w:r>
        <w:t xml:space="preserve">Supplier (Architect)</w:t>
      </w:r>
    </w:p>
    <w:p>
      <w:pPr>
        <w:pStyle w:val="FirstParagraph"/>
      </w:pPr>
      <w:r>
        <w:rPr>
          <w:bCs/>
          <w:b/>
        </w:rPr>
        <w:t xml:space="preserve">Firm Name:</w:t>
      </w:r>
      <w:r>
        <w:t xml:space="preserve"> </w:t>
      </w:r>
      <w:r>
        <w:t xml:space="preserve">Gulf Architectural Design Studio FZ-LLC</w:t>
      </w:r>
      <w:r>
        <w:br/>
      </w:r>
      <w:r>
        <w:rPr>
          <w:bCs/>
          <w:b/>
        </w:rPr>
        <w:t xml:space="preserve">Trade License No.:</w:t>
      </w:r>
      <w:r>
        <w:t xml:space="preserve"> </w:t>
      </w:r>
      <w:r>
        <w:t xml:space="preserve">20784561</w:t>
      </w:r>
      <w:r>
        <w:br/>
      </w:r>
      <w:r>
        <w:rPr>
          <w:bCs/>
          <w:b/>
        </w:rPr>
        <w:t xml:space="preserve">Address:</w:t>
      </w:r>
      <w:r>
        <w:t xml:space="preserve"> </w:t>
      </w:r>
      <w:r>
        <w:t xml:space="preserve">Office 12, Level 5, Alserkal Avenue, Al Quoz, Dubai, United Arab Emirates</w:t>
      </w:r>
      <w:r>
        <w:br/>
      </w:r>
      <w:r>
        <w:rPr>
          <w:bCs/>
          <w:b/>
        </w:rPr>
        <w:t xml:space="preserve">Phone:</w:t>
      </w:r>
      <w:r>
        <w:t xml:space="preserve"> </w:t>
      </w:r>
      <w:r>
        <w:t xml:space="preserve">+971 4 339 7745</w:t>
      </w:r>
      <w:r>
        <w:br/>
      </w:r>
      <w:r>
        <w:rPr>
          <w:bCs/>
          <w:b/>
        </w:rPr>
        <w:t xml:space="preserve">Email:</w:t>
      </w:r>
      <w:r>
        <w:t xml:space="preserve"> </w:t>
      </w:r>
      <w:r>
        <w:t xml:space="preserve">contracts@gulfarchstudio.ae</w:t>
      </w:r>
      <w:r>
        <w:br/>
      </w:r>
      <w:r>
        <w:rPr>
          <w:bCs/>
          <w:b/>
        </w:rPr>
        <w:t xml:space="preserve">Authorized Signatory:</w:t>
      </w:r>
      <w:r>
        <w:t xml:space="preserve"> </w:t>
      </w:r>
      <w:r>
        <w:t xml:space="preserve">Ms. Fatima Al Rashidi, Principal Architect</w:t>
      </w:r>
    </w:p>
    <w:bookmarkEnd w:id="22"/>
    <w:p>
      <w:pPr>
        <w:pStyle w:val="BodyText"/>
      </w:pPr>
      <w:r>
        <w:t xml:space="preserve">2. DESCRIPTION OF ARCHITECT SERVICES</w:t>
      </w:r>
    </w:p>
    <w:p>
      <w:pPr>
        <w:pStyle w:val="BodyText"/>
      </w:pPr>
      <w:r>
        <w:t xml:space="preserve">This Purchase Order is issued by Emirates Horizon Development LLC to engage the services of Gulf Architectural Design Studio FZ-LLC, a licensed</w:t>
      </w:r>
      <w:r>
        <w:t xml:space="preserve"> </w:t>
      </w:r>
      <w:r>
        <w:t xml:space="preserve">Architect</w:t>
      </w:r>
      <w:r>
        <w:t xml:space="preserve"> </w:t>
      </w:r>
      <w:r>
        <w:t xml:space="preserve">firm registered in the</w:t>
      </w:r>
      <w:r>
        <w:t xml:space="preserve"> </w:t>
      </w:r>
      <w:r>
        <w:t xml:space="preserve">United Arab Emirates Dubai</w:t>
      </w:r>
      <w:r>
        <w:t xml:space="preserve"> </w:t>
      </w:r>
      <w:r>
        <w:t xml:space="preserve">jurisdiction, to deliver comprehensive architectural design, planning, and consultancy services for the "Marina Vista Residential Tower" project located in Dubai Marina, Dubai, United Arab Emirates. The</w:t>
      </w:r>
      <w:r>
        <w:t xml:space="preserve"> </w:t>
      </w:r>
      <w:r>
        <w:t xml:space="preserve">Architect</w:t>
      </w:r>
      <w:r>
        <w:t xml:space="preserve"> </w:t>
      </w:r>
      <w:r>
        <w:t xml:space="preserve">shall be responsible for all phases of architectural design from concept development through to construction documentation, in full compliance with the Dubai Municipality building regulations, the Dubai Urban Planning and Building Regulations (UPBR), and all applicable federal and emirate-level codes of the United Arab Emirates.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Architect Services</w:t>
            </w:r>
          </w:p>
        </w:tc>
        <w:tc>
          <w:tcPr/>
          <w:p>
            <w:pPr>
              <w:pStyle w:val="Compact"/>
              <w:jc w:val="left"/>
            </w:pPr>
            <w:r>
              <w:t xml:space="preserve">Phase / Duration</w:t>
            </w:r>
          </w:p>
        </w:tc>
        <w:tc>
          <w:tcPr/>
          <w:p>
            <w:pPr>
              <w:pStyle w:val="Compact"/>
              <w:jc w:val="left"/>
            </w:pPr>
            <w:r>
              <w:t xml:space="preserve">Quantity</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Conceptual Architect Design &amp; Feasibility Study for 42-storey residential tower including site analysis, massing studies, and preliminary architectural drawings compliant with Dubai Municipality requirements.</w:t>
            </w:r>
          </w:p>
        </w:tc>
        <w:tc>
          <w:tcPr/>
          <w:p>
            <w:pPr>
              <w:pStyle w:val="Compact"/>
              <w:jc w:val="left"/>
            </w:pPr>
            <w:r>
              <w:t xml:space="preserve">Phase 1 / 8 weeks</w:t>
            </w:r>
          </w:p>
        </w:tc>
        <w:tc>
          <w:tcPr/>
          <w:p>
            <w:pPr>
              <w:pStyle w:val="Compact"/>
              <w:jc w:val="left"/>
            </w:pPr>
            <w:r>
              <w:t xml:space="preserve">1 Lot</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Schematic Design Development including architectural floor plans, elevations, sections, and 3D visualizations for all 42 floors plus podium and basement levels.</w:t>
            </w:r>
          </w:p>
        </w:tc>
        <w:tc>
          <w:tcPr/>
          <w:p>
            <w:pPr>
              <w:pStyle w:val="Compact"/>
              <w:jc w:val="left"/>
            </w:pPr>
            <w:r>
              <w:t xml:space="preserve">Phase 2 / 10 weeks</w:t>
            </w:r>
          </w:p>
        </w:tc>
        <w:tc>
          <w:tcPr/>
          <w:p>
            <w:pPr>
              <w:pStyle w:val="Compact"/>
              <w:jc w:val="left"/>
            </w:pPr>
            <w:r>
              <w:t xml:space="preserve">1 Lot</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Detailed Architectural Design and Construction Documentation including working drawings, specifications, and coordination with structural, MEP, and landscape consultants for Dubai Municipality approval submission.</w:t>
            </w:r>
          </w:p>
        </w:tc>
        <w:tc>
          <w:tcPr/>
          <w:p>
            <w:pPr>
              <w:pStyle w:val="Compact"/>
              <w:jc w:val="left"/>
            </w:pPr>
            <w:r>
              <w:t xml:space="preserve">Phase 3 / 14 weeks</w:t>
            </w:r>
          </w:p>
        </w:tc>
        <w:tc>
          <w:tcPr/>
          <w:p>
            <w:pPr>
              <w:pStyle w:val="Compact"/>
              <w:jc w:val="left"/>
            </w:pPr>
            <w:r>
              <w:t xml:space="preserve">1 Lot</w:t>
            </w:r>
          </w:p>
        </w:tc>
        <w:tc>
          <w:tcPr/>
          <w:p>
            <w:pPr>
              <w:pStyle w:val="Compact"/>
              <w:jc w:val="left"/>
            </w:pPr>
            <w:r>
              <w:t xml:space="preserve">475,000.00</w:t>
            </w:r>
          </w:p>
        </w:tc>
      </w:tr>
      <w:tr>
        <w:tc>
          <w:tcPr/>
          <w:p>
            <w:pPr>
              <w:pStyle w:val="Compact"/>
              <w:jc w:val="left"/>
            </w:pPr>
            <w:r>
              <w:t xml:space="preserve">04</w:t>
            </w:r>
          </w:p>
        </w:tc>
        <w:tc>
          <w:tcPr/>
          <w:p>
            <w:pPr>
              <w:pStyle w:val="Compact"/>
              <w:jc w:val="left"/>
            </w:pPr>
            <w:r>
              <w:t xml:space="preserve">Architectural Site Supervision and Construction Phase Services including monthly site visits, design queries resolution, and as-built documentation throughout the 24-month construction period in Dubai.</w:t>
            </w:r>
          </w:p>
        </w:tc>
        <w:tc>
          <w:tcPr/>
          <w:p>
            <w:pPr>
              <w:pStyle w:val="Compact"/>
              <w:jc w:val="left"/>
            </w:pPr>
            <w:r>
              <w:t xml:space="preserve">Phase 4 / 24 months</w:t>
            </w:r>
          </w:p>
        </w:tc>
        <w:tc>
          <w:tcPr/>
          <w:p>
            <w:pPr>
              <w:pStyle w:val="Compact"/>
              <w:jc w:val="left"/>
            </w:pPr>
            <w:r>
              <w:t xml:space="preserve">24 Months</w:t>
            </w:r>
          </w:p>
        </w:tc>
        <w:tc>
          <w:tcPr/>
          <w:p>
            <w:pPr>
              <w:pStyle w:val="Compact"/>
              <w:jc w:val="left"/>
            </w:pPr>
            <w:r>
              <w:t xml:space="preserve">560,000.00</w:t>
            </w:r>
          </w:p>
        </w:tc>
      </w:tr>
      <w:tr>
        <w:tc>
          <w:tcPr/>
          <w:p>
            <w:pPr>
              <w:pStyle w:val="Compact"/>
              <w:jc w:val="left"/>
            </w:pPr>
            <w:r>
              <w:t xml:space="preserve">05</w:t>
            </w:r>
          </w:p>
        </w:tc>
        <w:tc>
          <w:tcPr/>
          <w:p>
            <w:pPr>
              <w:pStyle w:val="Compact"/>
              <w:jc w:val="left"/>
            </w:pPr>
            <w:r>
              <w:t xml:space="preserve">Interior Architect Design for lobby, amenities, and common areas including material selection, furniture layout, and coordination with fit-out contractors in United Arab Emirates Dubai.</w:t>
            </w:r>
          </w:p>
        </w:tc>
        <w:tc>
          <w:tcPr/>
          <w:p>
            <w:pPr>
              <w:pStyle w:val="Compact"/>
              <w:jc w:val="left"/>
            </w:pPr>
            <w:r>
              <w:t xml:space="preserve">Phase 5 / 6 weeks</w:t>
            </w:r>
          </w:p>
        </w:tc>
        <w:tc>
          <w:tcPr/>
          <w:p>
            <w:pPr>
              <w:pStyle w:val="Compact"/>
              <w:jc w:val="left"/>
            </w:pPr>
            <w:r>
              <w:t xml:space="preserve">1 Lot</w:t>
            </w:r>
          </w:p>
        </w:tc>
        <w:tc>
          <w:tcPr/>
          <w:p>
            <w:pPr>
              <w:pStyle w:val="Compact"/>
              <w:jc w:val="left"/>
            </w:pPr>
            <w:r>
              <w:t xml:space="preserve">145,000.00</w:t>
            </w:r>
          </w:p>
        </w:tc>
      </w:tr>
      <w:tr>
        <w:tc>
          <w:tcPr/>
          <w:p>
            <w:pPr>
              <w:pStyle w:val="Compact"/>
              <w:jc w:val="left"/>
            </w:pPr>
            <w:r>
              <w:t xml:space="preserve">06</w:t>
            </w:r>
          </w:p>
        </w:tc>
        <w:tc>
          <w:tcPr/>
          <w:p>
            <w:pPr>
              <w:pStyle w:val="Compact"/>
              <w:jc w:val="left"/>
            </w:pPr>
            <w:r>
              <w:t xml:space="preserve">Architectural Compliance Review and Dubai Municipality / Dubai Civil Defence submission support including all required revisions and resubmissions until final building permit is issued.</w:t>
            </w:r>
          </w:p>
        </w:tc>
        <w:tc>
          <w:tcPr/>
          <w:p>
            <w:pPr>
              <w:pStyle w:val="Compact"/>
              <w:jc w:val="left"/>
            </w:pPr>
            <w:r>
              <w:t xml:space="preserve">Ongoing / 12 weeks</w:t>
            </w:r>
          </w:p>
        </w:tc>
        <w:tc>
          <w:tcPr/>
          <w:p>
            <w:pPr>
              <w:pStyle w:val="Compact"/>
              <w:jc w:val="left"/>
            </w:pPr>
            <w:r>
              <w:t xml:space="preserve">1 Lot</w:t>
            </w:r>
          </w:p>
        </w:tc>
        <w:tc>
          <w:tcPr/>
          <w:p>
            <w:pPr>
              <w:pStyle w:val="Compact"/>
              <w:jc w:val="left"/>
            </w:pPr>
            <w:r>
              <w:t xml:space="preserve">95,000.00</w:t>
            </w:r>
          </w:p>
        </w:tc>
      </w:tr>
      <w:tr>
        <w:tc>
          <w:tcPr>
            <w:gridSpan w:val="4"/>
          </w:tcPr>
          <w:p>
            <w:pPr>
              <w:pStyle w:val="Compact"/>
              <w:jc w:val="left"/>
            </w:pPr>
            <w:r>
              <w:t xml:space="preserve">TOTAL CONTRACT VALUE (AED)</w:t>
            </w:r>
          </w:p>
        </w:tc>
        <w:tc>
          <w:tcPr/>
          <w:p>
            <w:pPr>
              <w:pStyle w:val="Compact"/>
              <w:jc w:val="left"/>
            </w:pPr>
            <w:r>
              <w:t xml:space="preserve">1,780,000.00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and the specific regulations of the Emirate of Dubai. Any disputes arising from this Purchase Order shall be resolved through the Dubai International Arbitration Centre (DIAC) in Dubai, United Arab Emirates.</w:t>
      </w:r>
    </w:p>
    <w:p>
      <w:pPr>
        <w:numPr>
          <w:ilvl w:val="0"/>
          <w:numId w:val="1001"/>
        </w:numPr>
        <w:pStyle w:val="Compact"/>
      </w:pPr>
      <w:r>
        <w:rPr>
          <w:bCs/>
          <w:b/>
        </w:rPr>
        <w:t xml:space="preserve">Architect Qualifications:</w:t>
      </w:r>
      <w:r>
        <w:t xml:space="preserve"> </w:t>
      </w:r>
      <w:r>
        <w:t xml:space="preserve">The Architect firm shall maintain a valid trade license issued by the Dubai Department of Economic Development (DED) and all principal architects assigned to this project shall hold a valid professional registration with the Dubai Municipality and the UAE Council of Engineers. The Architect shall demonstrate a minimum of fifteen (15) years of experience in high-rise residential projects within the United Arab Emirates Dubai market.</w:t>
      </w:r>
    </w:p>
    <w:p>
      <w:pPr>
        <w:numPr>
          <w:ilvl w:val="0"/>
          <w:numId w:val="1001"/>
        </w:numPr>
        <w:pStyle w:val="Compact"/>
      </w:pPr>
      <w:r>
        <w:rPr>
          <w:bCs/>
          <w:b/>
        </w:rPr>
        <w:t xml:space="preserve">Payment Schedule:</w:t>
      </w:r>
      <w:r>
        <w:t xml:space="preserve"> </w:t>
      </w:r>
      <w:r>
        <w:t xml:space="preserve">Payments shall be made in United Arab Emirates Dirhams (AED) via bank transfer to the Architect's designated account. Invoices shall be submitted upon completion of each phase as outlined in Section 2. Payment shall be due within thirty (30) calendar days from the date of invoice receipt. Late payments shall attract a penalty of 1.5% per month as per UAE commercial law.</w:t>
      </w:r>
    </w:p>
    <w:p>
      <w:pPr>
        <w:numPr>
          <w:ilvl w:val="0"/>
          <w:numId w:val="1001"/>
        </w:numPr>
        <w:pStyle w:val="Compact"/>
      </w:pPr>
      <w:r>
        <w:rPr>
          <w:bCs/>
          <w:b/>
        </w:rPr>
        <w:t xml:space="preserve">Intellectual Property:</w:t>
      </w:r>
      <w:r>
        <w:t xml:space="preserve"> </w:t>
      </w:r>
      <w:r>
        <w:t xml:space="preserve">All architectural drawings, designs, models, and documentation produced by the Architect under this Purchase Order shall become the exclusive property of the Purchaser upon full payment. The Architect retains the right to use the project in their professional portfolio with prior written consent from the Purchaser.</w:t>
      </w:r>
    </w:p>
    <w:p>
      <w:pPr>
        <w:numPr>
          <w:ilvl w:val="0"/>
          <w:numId w:val="1001"/>
        </w:numPr>
        <w:pStyle w:val="Compact"/>
      </w:pPr>
      <w:r>
        <w:rPr>
          <w:bCs/>
          <w:b/>
        </w:rPr>
        <w:t xml:space="preserve">Insurance and Indemnity:</w:t>
      </w:r>
      <w:r>
        <w:t xml:space="preserve"> </w:t>
      </w:r>
      <w:r>
        <w:t xml:space="preserve">The Architect shall maintain professional indemnity insurance with a minimum coverage of AED 5,000,000 for the duration of the project. The Architect shall indemnify the Purchaser against any claims arising from design errors, omissions, or non-compliance with Dubai building codes and regulations.</w:t>
      </w:r>
    </w:p>
    <w:p>
      <w:pPr>
        <w:numPr>
          <w:ilvl w:val="0"/>
          <w:numId w:val="1001"/>
        </w:numPr>
        <w:pStyle w:val="Compact"/>
      </w:pPr>
      <w:r>
        <w:rPr>
          <w:bCs/>
          <w:b/>
        </w:rPr>
        <w:t xml:space="preserve">Confidentiality:</w:t>
      </w:r>
      <w:r>
        <w:t xml:space="preserve"> </w:t>
      </w:r>
      <w:r>
        <w:t xml:space="preserve">Both parties agree to maintain strict confidentiality regarding all project information, financial terms of this Purchase Order, and proprietary data exchanged during the engagement.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Architect shall be compensated for all services rendered up to the date of termination, and all completed architectural documentation shall be delivered to the Purchaser.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in the United Arab Emirates, or pandemics, provided that written notice is given within seven (7) days of the event.</w:t>
      </w:r>
    </w:p>
    <w:p>
      <w:pPr>
        <w:numPr>
          <w:ilvl w:val="0"/>
          <w:numId w:val="1001"/>
        </w:numPr>
        <w:pStyle w:val="Compact"/>
      </w:pPr>
      <w:r>
        <w:rPr>
          <w:bCs/>
          <w:b/>
        </w:rPr>
        <w:t xml:space="preserve">Compliance with UAE Regulations:</w:t>
      </w:r>
      <w:r>
        <w:t xml:space="preserve"> </w:t>
      </w:r>
      <w:r>
        <w:t xml:space="preserve">The Architect shall ensure all deliverables comply with the Dubai Building Code, UAE Federal Law No. 13 of 2018 on Real Estate, and all applicable environmental and sustainability standards mandated by the Dubai Municipality and the Dubai Supreme Council of Energy.</w:t>
      </w:r>
    </w:p>
    <w:p>
      <w:pPr>
        <w:pStyle w:val="FirstParagraph"/>
      </w:pPr>
      <w:r>
        <w:t xml:space="preserve">4. ACCEPTANCE AND AUTHORIZATION</w:t>
      </w:r>
    </w:p>
    <w:p>
      <w:pPr>
        <w:pStyle w:val="BodyText"/>
      </w:pPr>
      <w:r>
        <w:t xml:space="preserve">By signing below, both parties acknowledge and agree to all terms, conditions, and specifications set forth in this Purchase Order for Architect services in the United Arab Emirates Dubai. This document constitutes a binding agreement between the Purchaser and the Architect for the scope of work described herein.</w:t>
      </w:r>
    </w:p>
    <w:p>
      <w:pPr>
        <w:pStyle w:val="BodyText"/>
      </w:pPr>
      <w:r>
        <w:rPr>
          <w:bCs/>
          <w:b/>
        </w:rPr>
        <w:t xml:space="preserve">For and on behalf of: Emirates Horizon Development LLC</w:t>
      </w:r>
      <w:r>
        <w:br/>
      </w:r>
      <w:r>
        <w:t xml:space="preserve">Name: Mr. Khalid Al Mansoori</w:t>
      </w:r>
      <w:r>
        <w:br/>
      </w:r>
      <w:r>
        <w:t xml:space="preserve">Title: Chief Financial Officer</w:t>
      </w:r>
      <w:r>
        <w:br/>
      </w:r>
      <w:r>
        <w:t xml:space="preserve">Date: _______________</w:t>
      </w:r>
    </w:p>
    <w:p>
      <w:pPr>
        <w:pStyle w:val="BodyText"/>
      </w:pPr>
      <w:r>
        <w:rPr>
          <w:bCs/>
          <w:b/>
        </w:rPr>
        <w:t xml:space="preserve">For and on behalf of: Gulf Architectural Design Studio FZ-LLC</w:t>
      </w:r>
      <w:r>
        <w:br/>
      </w:r>
      <w:r>
        <w:t xml:space="preserve">Name: Ms. Fatima Al Rashidi</w:t>
      </w:r>
      <w:r>
        <w:br/>
      </w:r>
      <w:r>
        <w:t xml:space="preserve">Title: Principal Architect</w:t>
      </w:r>
      <w:r>
        <w:br/>
      </w:r>
      <w:r>
        <w:t xml:space="preserve">Date: _______________</w:t>
      </w:r>
    </w:p>
    <w:p>
      <w:pPr>
        <w:pStyle w:val="BodyText"/>
      </w:pPr>
      <w:r>
        <w:t xml:space="preserve">This Purchase Order (PO-DXB-2025-04782) is issued for Architect services in the United Arab Emirates Dubai. This document is valid only when signed and stamped by both authorized parties. Unauthorized reproduction or distribution is prohibited under UAE Federal Law.</w:t>
      </w:r>
    </w:p>
    <w:p>
      <w:pPr>
        <w:pStyle w:val="BodyText"/>
      </w:pPr>
      <w:r>
        <w:t xml:space="preserve">Page 1 of 1 | Generated: 15 June 2025 | Emirates Horizon Development LLC — Procurement Department, Dubai,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United Arab Emirates Dubai</dc:title>
  <dc:creator/>
  <dc:language>en</dc:language>
  <cp:keywords/>
  <dcterms:created xsi:type="dcterms:W3CDTF">2026-10-10T06:30:02Z</dcterms:created>
  <dcterms:modified xsi:type="dcterms:W3CDTF">2026-10-10T06:30:02Z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