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7" w:name="purchase-order"/>
    <w:p>
      <w:pPr>
        <w:pStyle w:val="Heading1"/>
      </w:pPr>
      <w:r>
        <w:t xml:space="preserve">PURCHASE ORDER</w:t>
      </w:r>
    </w:p>
    <w:p>
      <w:pPr>
        <w:pStyle w:val="FirstParagraph"/>
      </w:pPr>
      <w:r>
        <w:rPr>
          <w:bCs/>
          <w:b/>
        </w:rPr>
        <w:t xml:space="preserve">Architectural Design &amp; Consultancy Services</w:t>
      </w:r>
    </w:p>
    <w:p>
      <w:pPr>
        <w:pStyle w:val="BodyText"/>
      </w:pPr>
      <w:r>
        <w:t xml:space="preserve">United Kingdom London</w:t>
      </w:r>
    </w:p>
    <w:p>
      <w:pPr>
        <w:pStyle w:val="BodyText"/>
      </w:pPr>
      <w:r>
        <w:rPr>
          <w:bCs/>
          <w:b/>
        </w:rPr>
        <w:t xml:space="preserve">Purchase Order No.:</w:t>
      </w:r>
      <w:r>
        <w:t xml:space="preserve"> </w:t>
      </w:r>
      <w:r>
        <w:t xml:space="preserve">PO-2025-LDN-04872</w:t>
      </w:r>
    </w:p>
    <w:p>
      <w:pPr>
        <w:pStyle w:val="BodyText"/>
      </w:pPr>
      <w:r>
        <w:rPr>
          <w:bCs/>
          <w:b/>
        </w:rPr>
        <w:t xml:space="preserve">Date of Issue:</w:t>
      </w:r>
      <w:r>
        <w:t xml:space="preserve"> </w:t>
      </w:r>
      <w:r>
        <w:t xml:space="preserve">14 June 2025</w:t>
      </w:r>
    </w:p>
    <w:p>
      <w:pPr>
        <w:pStyle w:val="BodyText"/>
      </w:pPr>
      <w:r>
        <w:rPr>
          <w:bCs/>
          <w:b/>
        </w:rPr>
        <w:t xml:space="preserve">Required Completion Date:</w:t>
      </w:r>
      <w:r>
        <w:t xml:space="preserve"> </w:t>
      </w:r>
      <w:r>
        <w:t xml:space="preserve">30 November 2025</w:t>
      </w:r>
    </w:p>
    <w:p>
      <w:pPr>
        <w:pStyle w:val="BodyText"/>
      </w:pPr>
      <w:r>
        <w:rPr>
          <w:bCs/>
          <w:b/>
        </w:rPr>
        <w:t xml:space="preserve">Project Reference:</w:t>
      </w:r>
      <w:r>
        <w:t xml:space="preserve"> </w:t>
      </w:r>
      <w:r>
        <w:t xml:space="preserve">LON-ARCH-2025-0391</w:t>
      </w:r>
    </w:p>
    <w:p>
      <w:pPr>
        <w:pStyle w:val="BodyText"/>
      </w:pPr>
      <w:r>
        <w:rPr>
          <w:bCs/>
          <w:b/>
        </w:rPr>
        <w:t xml:space="preserve">Issued By (Buyer):</w:t>
      </w:r>
    </w:p>
    <w:p>
      <w:pPr>
        <w:pStyle w:val="BodyText"/>
      </w:pPr>
      <w:r>
        <w:t xml:space="preserve">Thameside Development Group Ltd.</w:t>
      </w:r>
    </w:p>
    <w:p>
      <w:pPr>
        <w:pStyle w:val="BodyText"/>
      </w:pPr>
      <w:r>
        <w:t xml:space="preserve">128 Commercial Street, Shoreditch</w:t>
      </w:r>
    </w:p>
    <w:p>
      <w:pPr>
        <w:pStyle w:val="BodyText"/>
      </w:pPr>
      <w:r>
        <w:t xml:space="preserve">London, EC2A 4DX, United Kingdom</w:t>
      </w:r>
    </w:p>
    <w:p>
      <w:pPr>
        <w:pStyle w:val="BodyText"/>
      </w:pPr>
      <w:r>
        <w:t xml:space="preserve">VAT No.: GB 987654321</w:t>
      </w:r>
    </w:p>
    <w:p>
      <w:pPr>
        <w:pStyle w:val="BodyText"/>
      </w:pPr>
      <w:r>
        <w:t xml:space="preserve">Company Reg. No.: 09876543</w:t>
      </w:r>
    </w:p>
    <w:bookmarkStart w:id="20" w:name="supplier-architect-details"/>
    <w:p>
      <w:pPr>
        <w:pStyle w:val="Heading2"/>
      </w:pPr>
      <w:r>
        <w:t xml:space="preserve">1. Supplier / Architect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Architect Firm</w:t>
            </w:r>
          </w:p>
        </w:tc>
        <w:tc>
          <w:tcPr/>
          <w:p>
            <w:pPr>
              <w:pStyle w:val="Compact"/>
              <w:jc w:val="left"/>
            </w:pPr>
            <w:r>
              <w:t xml:space="preserve">Meridian &amp; Associates Architects LLP</w:t>
            </w:r>
          </w:p>
        </w:tc>
      </w:tr>
      <w:tr>
        <w:tc>
          <w:tcPr/>
          <w:p>
            <w:pPr>
              <w:pStyle w:val="Compact"/>
              <w:jc w:val="left"/>
            </w:pPr>
            <w:r>
              <w:t xml:space="preserve">Principal Architect</w:t>
            </w:r>
          </w:p>
        </w:tc>
        <w:tc>
          <w:tcPr/>
          <w:p>
            <w:pPr>
              <w:pStyle w:val="Compact"/>
              <w:jc w:val="left"/>
            </w:pPr>
            <w:r>
              <w:t xml:space="preserve">Mr. Jonathan R. Whitfield, RIBA Chartered Architect</w:t>
            </w:r>
          </w:p>
        </w:tc>
      </w:tr>
      <w:tr>
        <w:tc>
          <w:tcPr/>
          <w:p>
            <w:pPr>
              <w:pStyle w:val="Compact"/>
              <w:jc w:val="left"/>
            </w:pPr>
            <w:r>
              <w:t xml:space="preserve">Address</w:t>
            </w:r>
          </w:p>
        </w:tc>
        <w:tc>
          <w:tcPr/>
          <w:p>
            <w:pPr>
              <w:pStyle w:val="Compact"/>
              <w:jc w:val="left"/>
            </w:pPr>
            <w:r>
              <w:t xml:space="preserve">Suite 4, 74 Finsbury Square, London, EC2A 1AP, United Kingdom</w:t>
            </w:r>
          </w:p>
        </w:tc>
      </w:tr>
      <w:tr>
        <w:tc>
          <w:tcPr/>
          <w:p>
            <w:pPr>
              <w:pStyle w:val="Compact"/>
              <w:jc w:val="left"/>
            </w:pPr>
            <w:r>
              <w:t xml:space="preserve">Telephone</w:t>
            </w:r>
          </w:p>
        </w:tc>
        <w:tc>
          <w:tcPr/>
          <w:p>
            <w:pPr>
              <w:pStyle w:val="Compact"/>
              <w:jc w:val="left"/>
            </w:pPr>
            <w:r>
              <w:t xml:space="preserve">+44 (0)20 7946 0832</w:t>
            </w:r>
          </w:p>
        </w:tc>
      </w:tr>
      <w:tr>
        <w:tc>
          <w:tcPr/>
          <w:p>
            <w:pPr>
              <w:pStyle w:val="Compact"/>
              <w:jc w:val="left"/>
            </w:pPr>
            <w:r>
              <w:t xml:space="preserve">Email</w:t>
            </w:r>
          </w:p>
        </w:tc>
        <w:tc>
          <w:tcPr/>
          <w:p>
            <w:pPr>
              <w:pStyle w:val="Compact"/>
              <w:jc w:val="left"/>
            </w:pPr>
            <w:r>
              <w:t xml:space="preserve">projects@meridianarchitects.co.uk</w:t>
            </w:r>
          </w:p>
        </w:tc>
      </w:tr>
      <w:tr>
        <w:tc>
          <w:tcPr/>
          <w:p>
            <w:pPr>
              <w:pStyle w:val="Compact"/>
              <w:jc w:val="left"/>
            </w:pPr>
            <w:r>
              <w:t xml:space="preserve">VAT No.</w:t>
            </w:r>
          </w:p>
        </w:tc>
        <w:tc>
          <w:tcPr/>
          <w:p>
            <w:pPr>
              <w:pStyle w:val="Compact"/>
              <w:jc w:val="left"/>
            </w:pPr>
            <w:r>
              <w:t xml:space="preserve">GB 123456789</w:t>
            </w:r>
          </w:p>
        </w:tc>
      </w:tr>
      <w:tr>
        <w:tc>
          <w:tcPr/>
          <w:p>
            <w:pPr>
              <w:pStyle w:val="Compact"/>
              <w:jc w:val="left"/>
            </w:pPr>
            <w:r>
              <w:t xml:space="preserve">Professional Indemnity Insurance</w:t>
            </w:r>
          </w:p>
        </w:tc>
        <w:tc>
          <w:tcPr/>
          <w:p>
            <w:pPr>
              <w:pStyle w:val="Compact"/>
              <w:jc w:val="left"/>
            </w:pPr>
            <w:r>
              <w:t xml:space="preserve">£10,000,000 limit – Zurich Insurance PLC (Policy No. ZI-2025-884321)</w:t>
            </w:r>
          </w:p>
        </w:tc>
      </w:tr>
      <w:tr>
        <w:tc>
          <w:tcPr/>
          <w:p>
            <w:pPr>
              <w:pStyle w:val="Compact"/>
              <w:jc w:val="left"/>
            </w:pPr>
            <w:r>
              <w:t xml:space="preserve">RIBA Registration</w:t>
            </w:r>
          </w:p>
        </w:tc>
        <w:tc>
          <w:tcPr/>
          <w:p>
            <w:pPr>
              <w:pStyle w:val="Compact"/>
              <w:jc w:val="left"/>
            </w:pPr>
            <w:r>
              <w:t xml:space="preserve">Chartered Practice No. CP-44721</w:t>
            </w:r>
          </w:p>
        </w:tc>
      </w:tr>
    </w:tbl>
    <w:bookmarkEnd w:id="20"/>
    <w:bookmarkStart w:id="21" w:name="X5aa1375eff3bfd69b3ec6fc16e635f8f1d92eda"/>
    <w:p>
      <w:pPr>
        <w:pStyle w:val="Heading2"/>
      </w:pPr>
      <w:r>
        <w:t xml:space="preserve">2. Description of Architect Services Ordered</w:t>
      </w:r>
    </w:p>
    <w:p>
      <w:pPr>
        <w:pStyle w:val="FirstParagraph"/>
      </w:pPr>
      <w:r>
        <w:t xml:space="preserve">This Purchase Order is issued by Thameside Development Group Ltd. to Meridian &amp; Associates Architects LLP for the provision of comprehensive Architect services in connection with the design, planning, and construction supervision of a mixed-use residential and commercial development located at 45–52 Aldgate High Street, London, EC3V 2BB, United Kingdom. The Architect shall deliver all services in strict accordance with the Royal Institute of British Architects (RIBA) Plan of Work 2020 and in full compliance with all applicable building regulations, planning legislation, and statutory requirements governing construction within the City of London and the wider United Kingdom jurisdiction.</w:t>
      </w:r>
    </w:p>
    <w:bookmarkEnd w:id="21"/>
    <w:bookmarkStart w:id="22"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Architect Service</w:t>
            </w:r>
          </w:p>
        </w:tc>
        <w:tc>
          <w:tcPr/>
          <w:p>
            <w:pPr>
              <w:pStyle w:val="Compact"/>
              <w:jc w:val="left"/>
            </w:pPr>
            <w:r>
              <w:t xml:space="preserve">Stage (RIBA)</w:t>
            </w:r>
          </w:p>
        </w:tc>
        <w:tc>
          <w:tcPr/>
          <w:p>
            <w:pPr>
              <w:pStyle w:val="Compact"/>
              <w:jc w:val="left"/>
            </w:pPr>
            <w:r>
              <w:t xml:space="preserve">Unit</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1</w:t>
            </w:r>
          </w:p>
        </w:tc>
        <w:tc>
          <w:tcPr/>
          <w:p>
            <w:pPr>
              <w:pStyle w:val="Compact"/>
              <w:jc w:val="left"/>
            </w:pPr>
            <w:r>
              <w:t xml:space="preserve">Architect – Concept Design &amp; Feasibility Study including site analysis, massing studies, and initial planning strategy for the United Kingdom London development</w:t>
            </w:r>
          </w:p>
        </w:tc>
        <w:tc>
          <w:tcPr/>
          <w:p>
            <w:pPr>
              <w:pStyle w:val="Compact"/>
              <w:jc w:val="left"/>
            </w:pPr>
            <w:r>
              <w:t xml:space="preserve">0–2</w:t>
            </w:r>
          </w:p>
        </w:tc>
        <w:tc>
          <w:tcPr/>
          <w:p>
            <w:pPr>
              <w:pStyle w:val="Compact"/>
              <w:jc w:val="left"/>
            </w:pPr>
            <w:r>
              <w:t xml:space="preserve">Fixed Fee</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Architect – Developed Design including detailed drawings, material specifications, and planning application submission to the City of London Corporation</w:t>
            </w:r>
          </w:p>
        </w:tc>
        <w:tc>
          <w:tcPr/>
          <w:p>
            <w:pPr>
              <w:pStyle w:val="Compact"/>
              <w:jc w:val="left"/>
            </w:pPr>
            <w:r>
              <w:t xml:space="preserve">3</w:t>
            </w:r>
          </w:p>
        </w:tc>
        <w:tc>
          <w:tcPr/>
          <w:p>
            <w:pPr>
              <w:pStyle w:val="Compact"/>
              <w:jc w:val="left"/>
            </w:pPr>
            <w:r>
              <w:t xml:space="preserve">Fixed Fee</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3</w:t>
            </w:r>
          </w:p>
        </w:tc>
        <w:tc>
          <w:tcPr/>
          <w:p>
            <w:pPr>
              <w:pStyle w:val="Compact"/>
              <w:jc w:val="left"/>
            </w:pPr>
            <w:r>
              <w:t xml:space="preserve">Architect – Technical Design &amp; Construction Documentation including full working drawings, specifications, and tender packages</w:t>
            </w:r>
          </w:p>
        </w:tc>
        <w:tc>
          <w:tcPr/>
          <w:p>
            <w:pPr>
              <w:pStyle w:val="Compact"/>
              <w:jc w:val="left"/>
            </w:pPr>
            <w:r>
              <w:t xml:space="preserve">4</w:t>
            </w:r>
          </w:p>
        </w:tc>
        <w:tc>
          <w:tcPr/>
          <w:p>
            <w:pPr>
              <w:pStyle w:val="Compact"/>
              <w:jc w:val="left"/>
            </w:pPr>
            <w:r>
              <w:t xml:space="preserve">Fixed Fee</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4</w:t>
            </w:r>
          </w:p>
        </w:tc>
        <w:tc>
          <w:tcPr/>
          <w:p>
            <w:pPr>
              <w:pStyle w:val="Compact"/>
              <w:jc w:val="left"/>
            </w:pPr>
            <w:r>
              <w:t xml:space="preserve">Architect – Tender &amp; Contract Administration including contractor queries, contract negotiation support, and appointment of main contractor</w:t>
            </w:r>
          </w:p>
        </w:tc>
        <w:tc>
          <w:tcPr/>
          <w:p>
            <w:pPr>
              <w:pStyle w:val="Compact"/>
              <w:jc w:val="left"/>
            </w:pPr>
            <w:r>
              <w:t xml:space="preserve">5</w:t>
            </w:r>
          </w:p>
        </w:tc>
        <w:tc>
          <w:tcPr/>
          <w:p>
            <w:pPr>
              <w:pStyle w:val="Compact"/>
              <w:jc w:val="left"/>
            </w:pPr>
            <w:r>
              <w:t xml:space="preserve">Fixed Fee</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5</w:t>
            </w:r>
          </w:p>
        </w:tc>
        <w:tc>
          <w:tcPr/>
          <w:p>
            <w:pPr>
              <w:pStyle w:val="Compact"/>
              <w:jc w:val="left"/>
            </w:pPr>
            <w:r>
              <w:t xml:space="preserve">Architect – Construction Phase Supervision including site inspections, progress monitoring, and certification of interim payments</w:t>
            </w:r>
          </w:p>
        </w:tc>
        <w:tc>
          <w:tcPr/>
          <w:p>
            <w:pPr>
              <w:pStyle w:val="Compact"/>
              <w:jc w:val="left"/>
            </w:pPr>
            <w:r>
              <w:t xml:space="preserve">6</w:t>
            </w:r>
          </w:p>
        </w:tc>
        <w:tc>
          <w:tcPr/>
          <w:p>
            <w:pPr>
              <w:pStyle w:val="Compact"/>
              <w:jc w:val="left"/>
            </w:pPr>
            <w:r>
              <w:t xml:space="preserve">Monthly</w:t>
            </w:r>
          </w:p>
        </w:tc>
        <w:tc>
          <w:tcPr/>
          <w:p>
            <w:pPr>
              <w:pStyle w:val="Compact"/>
              <w:jc w:val="left"/>
            </w:pPr>
            <w:r>
              <w:t xml:space="preserve">£12,500.00 × 8 months</w:t>
            </w:r>
          </w:p>
        </w:tc>
        <w:tc>
          <w:tcPr/>
          <w:p>
            <w:pPr>
              <w:pStyle w:val="Compact"/>
              <w:jc w:val="left"/>
            </w:pPr>
            <w:r>
              <w:t xml:space="preserve">£100,000.00</w:t>
            </w:r>
          </w:p>
        </w:tc>
      </w:tr>
      <w:tr>
        <w:tc>
          <w:tcPr/>
          <w:p>
            <w:pPr>
              <w:pStyle w:val="Compact"/>
              <w:jc w:val="left"/>
            </w:pPr>
            <w:r>
              <w:t xml:space="preserve">6</w:t>
            </w:r>
          </w:p>
        </w:tc>
        <w:tc>
          <w:tcPr/>
          <w:p>
            <w:pPr>
              <w:pStyle w:val="Compact"/>
              <w:jc w:val="left"/>
            </w:pPr>
            <w:r>
              <w:t xml:space="preserve">Architect – Practical Completion &amp; Defects Liability Period supervision (12 months post-completion)</w:t>
            </w:r>
          </w:p>
        </w:tc>
        <w:tc>
          <w:tcPr/>
          <w:p>
            <w:pPr>
              <w:pStyle w:val="Compact"/>
              <w:jc w:val="left"/>
            </w:pPr>
            <w:r>
              <w:t xml:space="preserve">7</w:t>
            </w:r>
          </w:p>
        </w:tc>
        <w:tc>
          <w:tcPr/>
          <w:p>
            <w:pPr>
              <w:pStyle w:val="Compact"/>
              <w:jc w:val="left"/>
            </w:pPr>
            <w:r>
              <w:t xml:space="preserve">Fixed Fee</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7</w:t>
            </w:r>
          </w:p>
        </w:tc>
        <w:tc>
          <w:tcPr/>
          <w:p>
            <w:pPr>
              <w:pStyle w:val="Compact"/>
              <w:jc w:val="left"/>
            </w:pPr>
            <w:r>
              <w:t xml:space="preserve">Architect – Planning Consultation &amp; Liaison with Local Planning Authority (City of London) and United Kingdom statutory bodies</w:t>
            </w:r>
          </w:p>
        </w:tc>
        <w:tc>
          <w:tcPr/>
          <w:p>
            <w:pPr>
              <w:pStyle w:val="Compact"/>
              <w:jc w:val="left"/>
            </w:pPr>
            <w:r>
              <w:t xml:space="preserve">All Stages</w:t>
            </w:r>
          </w:p>
        </w:tc>
        <w:tc>
          <w:tcPr/>
          <w:p>
            <w:pPr>
              <w:pStyle w:val="Compact"/>
              <w:jc w:val="left"/>
            </w:pPr>
            <w:r>
              <w:t xml:space="preserve">Fixed Fee</w:t>
            </w:r>
          </w:p>
        </w:tc>
        <w:tc>
          <w:tcPr/>
          <w:p>
            <w:pPr>
              <w:pStyle w:val="Compact"/>
              <w:jc w:val="left"/>
            </w:pPr>
            <w:r>
              <w:t xml:space="preserve">£15,000.00</w:t>
            </w:r>
          </w:p>
        </w:tc>
        <w:tc>
          <w:tcPr/>
          <w:p>
            <w:pPr>
              <w:pStyle w:val="Compact"/>
              <w:jc w:val="left"/>
            </w:pPr>
            <w:r>
              <w:t xml:space="preserve">£15,000.00</w:t>
            </w:r>
          </w:p>
        </w:tc>
      </w:tr>
      <w:tr>
        <w:tc>
          <w:tcPr>
            <w:gridSpan w:val="5"/>
          </w:tcPr>
          <w:p>
            <w:pPr>
              <w:pStyle w:val="Compact"/>
              <w:jc w:val="right"/>
            </w:pPr>
            <w:r>
              <w:t xml:space="preserve">Subtotal (Excluding VAT)</w:t>
            </w:r>
          </w:p>
        </w:tc>
        <w:tc>
          <w:tcPr/>
          <w:p>
            <w:pPr>
              <w:pStyle w:val="Compact"/>
              <w:jc w:val="left"/>
            </w:pPr>
            <w:r>
              <w:t xml:space="preserve">£370,500.00</w:t>
            </w:r>
          </w:p>
        </w:tc>
      </w:tr>
      <w:tr>
        <w:tc>
          <w:tcPr>
            <w:gridSpan w:val="5"/>
          </w:tcPr>
          <w:p>
            <w:pPr>
              <w:pStyle w:val="Compact"/>
              <w:jc w:val="right"/>
            </w:pPr>
            <w:r>
              <w:t xml:space="preserve">VAT @ 20% (United Kingdom Standard Rate)</w:t>
            </w:r>
          </w:p>
        </w:tc>
        <w:tc>
          <w:tcPr/>
          <w:p>
            <w:pPr>
              <w:pStyle w:val="Compact"/>
              <w:jc w:val="left"/>
            </w:pPr>
            <w:r>
              <w:t xml:space="preserve">£74,100.00</w:t>
            </w:r>
          </w:p>
        </w:tc>
      </w:tr>
      <w:tr>
        <w:tc>
          <w:tcPr>
            <w:gridSpan w:val="5"/>
          </w:tcPr>
          <w:p>
            <w:pPr>
              <w:pStyle w:val="Compact"/>
              <w:jc w:val="right"/>
            </w:pPr>
            <w:r>
              <w:t xml:space="preserve">TOTAL PURCHASE ORDER VALUE (Including VAT)</w:t>
            </w:r>
          </w:p>
        </w:tc>
        <w:tc>
          <w:tcPr/>
          <w:p>
            <w:pPr>
              <w:pStyle w:val="Compact"/>
              <w:jc w:val="left"/>
            </w:pPr>
            <w:r>
              <w:t xml:space="preserve">£444,600.00</w:t>
            </w:r>
          </w:p>
        </w:tc>
      </w:tr>
    </w:tbl>
    <w:bookmarkEnd w:id="22"/>
    <w:bookmarkStart w:id="23" w:name="payment-terms"/>
    <w:p>
      <w:pPr>
        <w:pStyle w:val="Heading2"/>
      </w:pPr>
      <w:r>
        <w:t xml:space="preserve">4. Payment Terms</w:t>
      </w:r>
    </w:p>
    <w:p>
      <w:pPr>
        <w:numPr>
          <w:ilvl w:val="0"/>
          <w:numId w:val="1001"/>
        </w:numPr>
        <w:pStyle w:val="Compact"/>
      </w:pPr>
      <w:r>
        <w:t xml:space="preserve">Payment shall be made by direct bank transfer to the Architect's nominated account within thirty (30) calendar days of receipt of a valid VAT invoice.</w:t>
      </w:r>
    </w:p>
    <w:p>
      <w:pPr>
        <w:numPr>
          <w:ilvl w:val="0"/>
          <w:numId w:val="1001"/>
        </w:numPr>
        <w:pStyle w:val="Compact"/>
      </w:pPr>
      <w:r>
        <w:t xml:space="preserve">Invoices shall be submitted at the completion of each RIBA stage or on a monthly basis for Construction Phase services, as applicable.</w:t>
      </w:r>
    </w:p>
    <w:p>
      <w:pPr>
        <w:numPr>
          <w:ilvl w:val="0"/>
          <w:numId w:val="1001"/>
        </w:numPr>
        <w:pStyle w:val="Compact"/>
      </w:pPr>
      <w:r>
        <w:t xml:space="preserve">A retention sum of ten percent (10%) shall be withheld from each interim payment and released in two equal instalments: fifty percent (50%) upon Practical Completion and fifty percent (50%) upon expiry of the Defects Liability Period.</w:t>
      </w:r>
    </w:p>
    <w:p>
      <w:pPr>
        <w:numPr>
          <w:ilvl w:val="0"/>
          <w:numId w:val="1001"/>
        </w:numPr>
        <w:pStyle w:val="Compact"/>
      </w:pPr>
      <w:r>
        <w:t xml:space="preserve">All amounts are quoted in British Pounds Sterling (GBP) and are subject to United Kingdom Value Added Tax at the prevailing standard rate.</w:t>
      </w:r>
    </w:p>
    <w:p>
      <w:pPr>
        <w:numPr>
          <w:ilvl w:val="0"/>
          <w:numId w:val="1001"/>
        </w:numPr>
        <w:pStyle w:val="Compact"/>
      </w:pPr>
      <w:r>
        <w:t xml:space="preserve">Late payment shall attract interest at the rate of four percent (4%) per annum above the Bank of England base rate, in accordance with the Late Payment of Commercial Debts (Interest) Act 1998.</w:t>
      </w:r>
    </w:p>
    <w:bookmarkEnd w:id="23"/>
    <w:bookmarkStart w:id="24" w:name="terms-and-conditions"/>
    <w:p>
      <w:pPr>
        <w:pStyle w:val="Heading2"/>
      </w:pPr>
      <w:r>
        <w:t xml:space="preserve">5. Terms and Conditions</w:t>
      </w:r>
    </w:p>
    <w:p>
      <w:pPr>
        <w:numPr>
          <w:ilvl w:val="0"/>
          <w:numId w:val="1002"/>
        </w:numPr>
        <w:pStyle w:val="Compact"/>
      </w:pPr>
      <w:r>
        <w:t xml:space="preserve">This Purchase Order is governed by and shall be construed in accordance with the laws of England and Wales, United Kingdom.</w:t>
      </w:r>
    </w:p>
    <w:p>
      <w:pPr>
        <w:numPr>
          <w:ilvl w:val="0"/>
          <w:numId w:val="1002"/>
        </w:numPr>
        <w:pStyle w:val="Compact"/>
      </w:pPr>
      <w:r>
        <w:t xml:space="preserve">The Architect warrants that all services shall be performed with reasonable skill and care, in accordance with the RIBA Code of Professional Conduct and all applicable United Kingdom building regulations.</w:t>
      </w:r>
    </w:p>
    <w:p>
      <w:pPr>
        <w:numPr>
          <w:ilvl w:val="0"/>
          <w:numId w:val="1002"/>
        </w:numPr>
        <w:pStyle w:val="Compact"/>
      </w:pPr>
      <w:r>
        <w:t xml:space="preserve">The Architect shall maintain adequate Professional Indemnity Insurance throughout the duration of the engagement and the Defects Liability Period, with a minimum cover of £10,000,000 per claim.</w:t>
      </w:r>
    </w:p>
    <w:p>
      <w:pPr>
        <w:numPr>
          <w:ilvl w:val="0"/>
          <w:numId w:val="1002"/>
        </w:numPr>
        <w:pStyle w:val="Compact"/>
      </w:pPr>
      <w:r>
        <w:t xml:space="preserve">All intellectual property rights in drawings, designs, and documentation produced under this Purchase Order shall vest in Thameside Development Group Ltd. upon full payment of the relevant stage fees.</w:t>
      </w:r>
    </w:p>
    <w:p>
      <w:pPr>
        <w:numPr>
          <w:ilvl w:val="0"/>
          <w:numId w:val="1002"/>
        </w:numPr>
        <w:pStyle w:val="Compact"/>
      </w:pPr>
      <w:r>
        <w:t xml:space="preserve">The Architect shall comply with all Health and Safety at Work etc. Act 1974 requirements and shall provide a Construction Phase Health and Safety Plan prior to commencement of on-site supervision activities in London.</w:t>
      </w:r>
    </w:p>
    <w:p>
      <w:pPr>
        <w:numPr>
          <w:ilvl w:val="0"/>
          <w:numId w:val="1002"/>
        </w:numPr>
        <w:pStyle w:val="Compact"/>
      </w:pPr>
      <w:r>
        <w:t xml:space="preserve">Either party may terminate this Purchase Order by providing thirty (30) days' written notice. Upon termination, the Architect shall be entitled to payment for all services rendered up to the date of termination.</w:t>
      </w:r>
    </w:p>
    <w:p>
      <w:pPr>
        <w:numPr>
          <w:ilvl w:val="0"/>
          <w:numId w:val="1002"/>
        </w:numPr>
        <w:pStyle w:val="Compact"/>
      </w:pPr>
      <w:r>
        <w:t xml:space="preserve">All disputes arising from this Purchase Order shall be resolved by arbitration in London, United Kingdom, in accordance with the rules of the London Court of International Arbitration (LCIA).</w:t>
      </w:r>
    </w:p>
    <w:p>
      <w:pPr>
        <w:numPr>
          <w:ilvl w:val="0"/>
          <w:numId w:val="1002"/>
        </w:numPr>
        <w:pStyle w:val="Compact"/>
      </w:pPr>
      <w:r>
        <w:t xml:space="preserve">The Architect shall not subcontract any portion of the Architect services without the prior written consent of the Buyer.</w:t>
      </w:r>
    </w:p>
    <w:bookmarkEnd w:id="24"/>
    <w:bookmarkStart w:id="25" w:name="project-location-and-site-access"/>
    <w:p>
      <w:pPr>
        <w:pStyle w:val="Heading2"/>
      </w:pPr>
      <w:r>
        <w:t xml:space="preserve">6. Project Location and Site Access</w:t>
      </w:r>
    </w:p>
    <w:p>
      <w:pPr>
        <w:pStyle w:val="FirstParagraph"/>
      </w:pPr>
      <w:r>
        <w:t xml:space="preserve">The development site to which this Purchase Order relates is situated at 45–52 Aldgate High Street, London, EC3V 2BB, United Kingdom. The Architect shall have reasonable access to the site during normal working hours (Monday to Friday, 08:00 to 17:00) for the purpose of conducting inspections, surveys, and supervision activities. The Buyer shall provide the Architect with all necessary site access, existing survey data, and third-party reports required to fulfil the obligations set out in this Purchase Order.</w:t>
      </w:r>
    </w:p>
    <w:bookmarkEnd w:id="25"/>
    <w:bookmarkStart w:id="26" w:name="acceptance-and-authorisation"/>
    <w:p>
      <w:pPr>
        <w:pStyle w:val="Heading2"/>
      </w:pPr>
      <w:r>
        <w:t xml:space="preserve">7. Acceptance and Authorisation</w:t>
      </w:r>
    </w:p>
    <w:p>
      <w:pPr>
        <w:pStyle w:val="FirstParagraph"/>
      </w:pPr>
      <w:r>
        <w:t xml:space="preserve">This Purchase Order becomes binding upon written acceptance by the Architect. By signing below, the Architect confirms that the terms, scope, and fees set out in this document are accepted in full and that the Architect is fully authorised to undertake the Architect services described herein for the United Kingdom London project.</w:t>
      </w:r>
    </w:p>
    <w:p>
      <w:pPr>
        <w:pStyle w:val="BodyText"/>
      </w:pPr>
      <w:r>
        <w:rPr>
          <w:bCs/>
          <w:b/>
        </w:rPr>
        <w:t xml:space="preserve">For and on behalf of Thameside Development Group Ltd. (Buyer):</w:t>
      </w:r>
    </w:p>
    <w:p>
      <w:pPr>
        <w:pStyle w:val="BodyText"/>
      </w:pPr>
      <w:r>
        <w:t xml:space="preserve">Name: Sarah M. Okafor</w:t>
      </w:r>
      <w:r>
        <w:br/>
      </w:r>
      <w:r>
        <w:t xml:space="preserve">Title: Director of Procurement</w:t>
      </w:r>
      <w:r>
        <w:br/>
      </w:r>
      <w:r>
        <w:t xml:space="preserve">Signature: _________________________</w:t>
      </w:r>
      <w:r>
        <w:br/>
      </w:r>
      <w:r>
        <w:t xml:space="preserve">Date: 14 June 2025</w:t>
      </w:r>
    </w:p>
    <w:p>
      <w:pPr>
        <w:pStyle w:val="BodyText"/>
      </w:pPr>
      <w:r>
        <w:rPr>
          <w:bCs/>
          <w:b/>
        </w:rPr>
        <w:t xml:space="preserve">For and on behalf of Meridian &amp; Associates Architects LLP (Architect / Supplier):</w:t>
      </w:r>
    </w:p>
    <w:p>
      <w:pPr>
        <w:pStyle w:val="BodyText"/>
      </w:pPr>
      <w:r>
        <w:t xml:space="preserve">Name: Jonathan R. Whitfield</w:t>
      </w:r>
      <w:r>
        <w:br/>
      </w:r>
      <w:r>
        <w:t xml:space="preserve">Title: Principal Architect, RIBA</w:t>
      </w:r>
      <w:r>
        <w:br/>
      </w:r>
      <w:r>
        <w:t xml:space="preserve">Signature: _________________________</w:t>
      </w:r>
      <w:r>
        <w:br/>
      </w:r>
      <w:r>
        <w:t xml:space="preserve">Date: _________________________</w:t>
      </w:r>
    </w:p>
    <w:p>
      <w:pPr>
        <w:pStyle w:val="BodyText"/>
      </w:pPr>
      <w:r>
        <w:t xml:space="preserve">Purchase Order PO-2025-LDN-04872 | Thameside Development Group Ltd. | 128 Commercial Street, London, EC2A 4DX, United Kingdom</w:t>
      </w:r>
    </w:p>
    <w:p>
      <w:pPr>
        <w:pStyle w:val="BodyText"/>
      </w:pPr>
      <w:r>
        <w:t xml:space="preserve">This document constitutes a legally binding Purchase Order for Architect services. All communications regarding this Purchase Order should reference the Purchase Order number stated above.</w:t>
      </w:r>
    </w:p>
    <w:p>
      <w:pPr>
        <w:pStyle w:val="BodyText"/>
      </w:pPr>
      <w:r>
        <w:t xml:space="preserve">© 2025 Thameside Development Group Ltd. All rights reserved. Company registered in England and Wales No. 09876543.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 Services - United Kingdom London</dc:title>
  <dc:creator/>
  <dc:language>en-GB</dc:language>
  <cp:keywords/>
  <dcterms:created xsi:type="dcterms:W3CDTF">2026-10-10T03:47:41Z</dcterms:created>
  <dcterms:modified xsi:type="dcterms:W3CDTF">2026-10-10T03:47:41Z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