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po-2025-la-04782"/>
    <w:p>
      <w:pPr>
        <w:pStyle w:val="Heading1"/>
      </w:pPr>
      <w:r>
        <w:t xml:space="preserve">PURCHASE ORDER</w:t>
      </w:r>
      <w:r>
        <w:t xml:space="preserve"> </w:t>
      </w:r>
      <w:r>
        <w:t xml:space="preserve">PO-2025-LA-04782</w:t>
      </w:r>
    </w:p>
    <w:p>
      <w:pPr>
        <w:pStyle w:val="FirstParagraph"/>
      </w:pPr>
      <w:r>
        <w:t xml:space="preserve">Architectural Design &amp; Professional Services — Los Angeles, United States</w:t>
      </w:r>
    </w:p>
    <w:bookmarkEnd w:id="20"/>
    <w:p>
      <w:pPr>
        <w:pStyle w:val="BodyText"/>
      </w:pPr>
      <w:r>
        <w:rPr>
          <w:bCs/>
          <w:b/>
        </w:rPr>
        <w:t xml:space="preserve">Purchase Order No.:</w:t>
      </w:r>
      <w:r>
        <w:t xml:space="preserve"> </w:t>
      </w:r>
      <w:r>
        <w:t xml:space="preserve">PO-2025-LA-04782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Project Location:</w:t>
      </w:r>
      <w:r>
        <w:t xml:space="preserve"> </w:t>
      </w:r>
      <w:r>
        <w:t xml:space="preserve">Los Angeles, California, United States</w:t>
      </w:r>
    </w:p>
    <w:bookmarkStart w:id="21"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Development Group, LLC</w:t>
            </w:r>
          </w:p>
        </w:tc>
      </w:tr>
      <w:tr>
        <w:tc>
          <w:tcPr/>
          <w:p>
            <w:pPr>
              <w:pStyle w:val="Compact"/>
              <w:jc w:val="left"/>
            </w:pPr>
            <w:r>
              <w:rPr>
                <w:bCs/>
                <w:b/>
              </w:rPr>
              <w:t xml:space="preserve">Address:</w:t>
            </w:r>
          </w:p>
        </w:tc>
        <w:tc>
          <w:tcPr/>
          <w:p>
            <w:pPr>
              <w:pStyle w:val="Compact"/>
              <w:jc w:val="left"/>
            </w:pPr>
            <w:r>
              <w:t xml:space="preserve">4500 Wilshire Boulevard, Suite 1200, Los Angeles, California 90010, United States</w:t>
            </w:r>
          </w:p>
        </w:tc>
      </w:tr>
      <w:tr>
        <w:tc>
          <w:tcPr/>
          <w:p>
            <w:pPr>
              <w:pStyle w:val="Compact"/>
              <w:jc w:val="left"/>
            </w:pPr>
            <w:r>
              <w:rPr>
                <w:bCs/>
                <w:b/>
              </w:rPr>
              <w:t xml:space="preserve">Contact Person:</w:t>
            </w:r>
          </w:p>
        </w:tc>
        <w:tc>
          <w:tcPr/>
          <w:p>
            <w:pPr>
              <w:pStyle w:val="Compact"/>
              <w:jc w:val="left"/>
            </w:pPr>
            <w:r>
              <w:t xml:space="preserve">Jonathan R. Whitfield, Director of Procurement</w:t>
            </w:r>
          </w:p>
        </w:tc>
      </w:tr>
      <w:tr>
        <w:tc>
          <w:tcPr/>
          <w:p>
            <w:pPr>
              <w:pStyle w:val="Compact"/>
              <w:jc w:val="left"/>
            </w:pPr>
            <w:r>
              <w:rPr>
                <w:bCs/>
                <w:b/>
              </w:rPr>
              <w:t xml:space="preserve">Email / Phone:</w:t>
            </w:r>
          </w:p>
        </w:tc>
        <w:tc>
          <w:tcPr/>
          <w:p>
            <w:pPr>
              <w:pStyle w:val="Compact"/>
              <w:jc w:val="left"/>
            </w:pPr>
            <w:r>
              <w:t xml:space="preserve">j.whitfield@meridiandev.com / (213) 555-0187</w:t>
            </w:r>
          </w:p>
        </w:tc>
      </w:tr>
      <w:tr>
        <w:tc>
          <w:tcPr/>
          <w:p>
            <w:pPr>
              <w:pStyle w:val="Compact"/>
              <w:jc w:val="left"/>
            </w:pPr>
            <w:r>
              <w:rPr>
                <w:bCs/>
                <w:b/>
              </w:rPr>
              <w:t xml:space="preserve">State Tax ID (CA):</w:t>
            </w:r>
          </w:p>
        </w:tc>
        <w:tc>
          <w:tcPr/>
          <w:p>
            <w:pPr>
              <w:pStyle w:val="Compact"/>
              <w:jc w:val="left"/>
            </w:pPr>
            <w:r>
              <w:t xml:space="preserve">CA-884210937</w:t>
            </w:r>
          </w:p>
        </w:tc>
      </w:tr>
    </w:tbl>
    <w:bookmarkEnd w:id="21"/>
    <w:bookmarkStart w:id="22" w:name="vendor-architect-information"/>
    <w:p>
      <w:pPr>
        <w:pStyle w:val="Heading2"/>
      </w:pPr>
      <w:r>
        <w:t xml:space="preserve">Vendor / Architect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Firm Name:</w:t>
            </w:r>
          </w:p>
        </w:tc>
        <w:tc>
          <w:tcPr/>
          <w:p>
            <w:pPr>
              <w:pStyle w:val="Compact"/>
              <w:jc w:val="left"/>
            </w:pPr>
            <w:r>
              <w:t xml:space="preserve">Harlow &amp; Voss Architects, Inc.</w:t>
            </w:r>
          </w:p>
        </w:tc>
      </w:tr>
      <w:tr>
        <w:tc>
          <w:tcPr/>
          <w:p>
            <w:pPr>
              <w:pStyle w:val="Compact"/>
              <w:jc w:val="left"/>
            </w:pPr>
            <w:r>
              <w:rPr>
                <w:bCs/>
                <w:b/>
              </w:rPr>
              <w:t xml:space="preserve">Lead Architect:</w:t>
            </w:r>
          </w:p>
        </w:tc>
        <w:tc>
          <w:tcPr/>
          <w:p>
            <w:pPr>
              <w:pStyle w:val="Compact"/>
              <w:jc w:val="left"/>
            </w:pPr>
            <w:r>
              <w:t xml:space="preserve">Dr. Elena M. Harlow, AIA, NCARB Registered Architect</w:t>
            </w:r>
          </w:p>
        </w:tc>
      </w:tr>
      <w:tr>
        <w:tc>
          <w:tcPr/>
          <w:p>
            <w:pPr>
              <w:pStyle w:val="Compact"/>
              <w:jc w:val="left"/>
            </w:pPr>
            <w:r>
              <w:rPr>
                <w:bCs/>
                <w:b/>
              </w:rPr>
              <w:t xml:space="preserve">Address:</w:t>
            </w:r>
          </w:p>
        </w:tc>
        <w:tc>
          <w:tcPr/>
          <w:p>
            <w:pPr>
              <w:pStyle w:val="Compact"/>
              <w:jc w:val="left"/>
            </w:pPr>
            <w:r>
              <w:t xml:space="preserve">8210 Sunset Boulevard, 3rd Floor, Los Angeles, California 90046, United States</w:t>
            </w:r>
          </w:p>
        </w:tc>
      </w:tr>
      <w:tr>
        <w:tc>
          <w:tcPr/>
          <w:p>
            <w:pPr>
              <w:pStyle w:val="Compact"/>
              <w:jc w:val="left"/>
            </w:pPr>
            <w:r>
              <w:rPr>
                <w:bCs/>
                <w:b/>
              </w:rPr>
              <w:t xml:space="preserve">CA Architect License No.:</w:t>
            </w:r>
          </w:p>
        </w:tc>
        <w:tc>
          <w:tcPr/>
          <w:p>
            <w:pPr>
              <w:pStyle w:val="Compact"/>
              <w:jc w:val="left"/>
            </w:pPr>
            <w:r>
              <w:t xml:space="preserve">A-118472 (State of California, United States)</w:t>
            </w:r>
          </w:p>
        </w:tc>
      </w:tr>
      <w:tr>
        <w:tc>
          <w:tcPr/>
          <w:p>
            <w:pPr>
              <w:pStyle w:val="Compact"/>
              <w:jc w:val="left"/>
            </w:pPr>
            <w:r>
              <w:rPr>
                <w:bCs/>
                <w:b/>
              </w:rPr>
              <w:t xml:space="preserve">NCARB Certificate No.:</w:t>
            </w:r>
          </w:p>
        </w:tc>
        <w:tc>
          <w:tcPr/>
          <w:p>
            <w:pPr>
              <w:pStyle w:val="Compact"/>
              <w:jc w:val="left"/>
            </w:pPr>
            <w:r>
              <w:t xml:space="preserve">NCARB-2003-4471</w:t>
            </w:r>
          </w:p>
        </w:tc>
      </w:tr>
      <w:tr>
        <w:tc>
          <w:tcPr/>
          <w:p>
            <w:pPr>
              <w:pStyle w:val="Compact"/>
              <w:jc w:val="left"/>
            </w:pPr>
            <w:r>
              <w:rPr>
                <w:bCs/>
                <w:b/>
              </w:rPr>
              <w:t xml:space="preserve">EIN:</w:t>
            </w:r>
          </w:p>
        </w:tc>
        <w:tc>
          <w:tcPr/>
          <w:p>
            <w:pPr>
              <w:pStyle w:val="Compact"/>
              <w:jc w:val="left"/>
            </w:pPr>
            <w:r>
              <w:t xml:space="preserve">84-2291037</w:t>
            </w:r>
          </w:p>
        </w:tc>
      </w:tr>
    </w:tbl>
    <w:bookmarkEnd w:id="22"/>
    <w:bookmarkStart w:id="23" w:name="X67c68b2d7c877281c0d746c949e412fb6efbbd5"/>
    <w:p>
      <w:pPr>
        <w:pStyle w:val="Heading2"/>
      </w:pPr>
      <w:r>
        <w:t xml:space="preserve">Scope of Architectural Services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Architect Services</w:t>
            </w:r>
          </w:p>
        </w:tc>
        <w:tc>
          <w:tcPr/>
          <w:p>
            <w:pPr>
              <w:pStyle w:val="Compact"/>
              <w:jc w:val="left"/>
            </w:pPr>
            <w:r>
              <w:t xml:space="preserve">Phase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Pre-Design &amp; Feasibility Study for mixed-use commercial-residential building, 12-story structure, 85,000 sq ft, located in the West Hollywood district of Los Angeles, United States</w:t>
            </w:r>
          </w:p>
        </w:tc>
        <w:tc>
          <w:tcPr/>
          <w:p>
            <w:pPr>
              <w:pStyle w:val="Compact"/>
              <w:jc w:val="left"/>
            </w:pPr>
            <w:r>
              <w:t xml:space="preserve">Phase I</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Schematic Design including massing studies, site planning, and compliance review with Los Angeles Municipal Code (LAMC) Title 14 Building Regulations and the Los Angeles Unified Zoning Ordinance</w:t>
            </w:r>
          </w:p>
        </w:tc>
        <w:tc>
          <w:tcPr/>
          <w:p>
            <w:pPr>
              <w:pStyle w:val="Compact"/>
              <w:jc w:val="left"/>
            </w:pPr>
            <w:r>
              <w:t xml:space="preserve">Phase II</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Design Development including detailed architectural drawings, material specifications, structural coordination, and energy modeling per California Title 24 Part 6 energy conservation standards</w:t>
            </w:r>
          </w:p>
        </w:tc>
        <w:tc>
          <w:tcPr/>
          <w:p>
            <w:pPr>
              <w:pStyle w:val="Compact"/>
              <w:jc w:val="left"/>
            </w:pPr>
            <w:r>
              <w:t xml:space="preserve">Phase III</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Construction Documents preparation, permit submittal package for the Los Angeles Department of Building and Safety (LADBS), and coordination with all required city agencies in the United States jurisdiction</w:t>
            </w:r>
          </w:p>
        </w:tc>
        <w:tc>
          <w:tcPr/>
          <w:p>
            <w:pPr>
              <w:pStyle w:val="Compact"/>
              <w:jc w:val="left"/>
            </w:pPr>
            <w:r>
              <w:t xml:space="preserve">Phase IV</w:t>
            </w:r>
          </w:p>
        </w:tc>
        <w:tc>
          <w:tcPr/>
          <w:p>
            <w:pPr>
              <w:pStyle w:val="Compact"/>
              <w:jc w:val="left"/>
            </w:pPr>
            <w:r>
              <w:t xml:space="preserve">1</w:t>
            </w:r>
          </w:p>
        </w:tc>
        <w:tc>
          <w:tcPr/>
          <w:p>
            <w:pPr>
              <w:pStyle w:val="Compact"/>
              <w:jc w:val="left"/>
            </w:pPr>
            <w:r>
              <w:t xml:space="preserve">$118,000.00</w:t>
            </w:r>
          </w:p>
        </w:tc>
        <w:tc>
          <w:tcPr/>
          <w:p>
            <w:pPr>
              <w:pStyle w:val="Compact"/>
              <w:jc w:val="left"/>
            </w:pPr>
            <w:r>
              <w:t xml:space="preserve">$118,000.00</w:t>
            </w:r>
          </w:p>
        </w:tc>
      </w:tr>
      <w:tr>
        <w:tc>
          <w:tcPr/>
          <w:p>
            <w:pPr>
              <w:pStyle w:val="Compact"/>
              <w:jc w:val="left"/>
            </w:pPr>
            <w:r>
              <w:t xml:space="preserve">5</w:t>
            </w:r>
          </w:p>
        </w:tc>
        <w:tc>
          <w:tcPr/>
          <w:p>
            <w:pPr>
              <w:pStyle w:val="Compact"/>
              <w:jc w:val="left"/>
            </w:pPr>
            <w:r>
              <w:t xml:space="preserve">Construction Administration: site observation visits (minimum 24 visits), RFI responses, submittal reviews, and progress meetings throughout the construction period in Los Angeles, United States</w:t>
            </w:r>
          </w:p>
        </w:tc>
        <w:tc>
          <w:tcPr/>
          <w:p>
            <w:pPr>
              <w:pStyle w:val="Compact"/>
              <w:jc w:val="left"/>
            </w:pPr>
            <w:r>
              <w:t xml:space="preserve">Phase V</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6</w:t>
            </w:r>
          </w:p>
        </w:tc>
        <w:tc>
          <w:tcPr/>
          <w:p>
            <w:pPr>
              <w:pStyle w:val="Compact"/>
              <w:jc w:val="left"/>
            </w:pPr>
            <w:r>
              <w:t xml:space="preserve">LEED Gold Certification consulting and documentation support for the Architect, including coordination with the U.S. Green Building Council and local Los Angeles green building incentive programs</w:t>
            </w:r>
          </w:p>
        </w:tc>
        <w:tc>
          <w:tcPr/>
          <w:p>
            <w:pPr>
              <w:pStyle w:val="Compact"/>
              <w:jc w:val="left"/>
            </w:pPr>
            <w:r>
              <w:t xml:space="preserve">Supplemental</w:t>
            </w:r>
          </w:p>
        </w:tc>
        <w:tc>
          <w:tcPr/>
          <w:p>
            <w:pPr>
              <w:pStyle w:val="Compact"/>
              <w:jc w:val="left"/>
            </w:pPr>
            <w:r>
              <w:t xml:space="preserve">1</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7</w:t>
            </w:r>
          </w:p>
        </w:tc>
        <w:tc>
          <w:tcPr/>
          <w:p>
            <w:pPr>
              <w:pStyle w:val="Compact"/>
              <w:jc w:val="left"/>
            </w:pPr>
            <w:r>
              <w:t xml:space="preserve">Seismic retrofit analysis and structural engineering coordination per the Uniform Building Code as adopted by the City of Los Angeles, United States, including peer review submission</w:t>
            </w:r>
          </w:p>
        </w:tc>
        <w:tc>
          <w:tcPr/>
          <w:p>
            <w:pPr>
              <w:pStyle w:val="Compact"/>
              <w:jc w:val="left"/>
            </w:pPr>
            <w:r>
              <w:t xml:space="preserve">Supplemental</w:t>
            </w:r>
          </w:p>
        </w:tc>
        <w:tc>
          <w:tcPr/>
          <w:p>
            <w:pPr>
              <w:pStyle w:val="Compact"/>
              <w:jc w:val="left"/>
            </w:pPr>
            <w:r>
              <w:t xml:space="preserve">1</w:t>
            </w:r>
          </w:p>
        </w:tc>
        <w:tc>
          <w:tcPr/>
          <w:p>
            <w:pPr>
              <w:pStyle w:val="Compact"/>
              <w:jc w:val="left"/>
            </w:pPr>
            <w:r>
              <w:t xml:space="preserve">$28,700.00</w:t>
            </w:r>
          </w:p>
        </w:tc>
        <w:tc>
          <w:tcPr/>
          <w:p>
            <w:pPr>
              <w:pStyle w:val="Compact"/>
              <w:jc w:val="left"/>
            </w:pPr>
            <w:r>
              <w:t xml:space="preserve">$28,700.00</w:t>
            </w:r>
          </w:p>
        </w:tc>
      </w:tr>
      <w:tr>
        <w:tc>
          <w:tcPr>
            <w:gridSpan w:val="5"/>
          </w:tcPr>
          <w:p>
            <w:pPr>
              <w:pStyle w:val="Compact"/>
              <w:jc w:val="right"/>
            </w:pPr>
            <w:r>
              <w:t xml:space="preserve">Subtotal:</w:t>
            </w:r>
          </w:p>
        </w:tc>
        <w:tc>
          <w:tcPr/>
          <w:p>
            <w:pPr>
              <w:pStyle w:val="Compact"/>
              <w:jc w:val="left"/>
            </w:pPr>
            <w:r>
              <w:t xml:space="preserve">$473,500.00</w:t>
            </w:r>
          </w:p>
        </w:tc>
      </w:tr>
      <w:tr>
        <w:tc>
          <w:tcPr>
            <w:gridSpan w:val="5"/>
          </w:tcPr>
          <w:p>
            <w:pPr>
              <w:pStyle w:val="Compact"/>
              <w:jc w:val="right"/>
            </w:pPr>
            <w:r>
              <w:t xml:space="preserve">Applicable Sales &amp; Use Tax (CA 9.5%):</w:t>
            </w:r>
          </w:p>
        </w:tc>
        <w:tc>
          <w:tcPr/>
          <w:p>
            <w:pPr>
              <w:pStyle w:val="Compact"/>
              <w:jc w:val="left"/>
            </w:pPr>
            <w:r>
              <w:t xml:space="preserve">$44,982.50</w:t>
            </w:r>
          </w:p>
        </w:tc>
      </w:tr>
      <w:tr>
        <w:tc>
          <w:tcPr>
            <w:gridSpan w:val="5"/>
          </w:tcPr>
          <w:p>
            <w:pPr>
              <w:pStyle w:val="Compact"/>
              <w:jc w:val="right"/>
            </w:pPr>
            <w:r>
              <w:rPr>
                <w:bCs/>
                <w:b/>
              </w:rPr>
              <w:t xml:space="preserve">TOTAL PURCHASE ORDER AMOUNT:</w:t>
            </w:r>
          </w:p>
        </w:tc>
        <w:tc>
          <w:tcPr/>
          <w:p>
            <w:pPr>
              <w:pStyle w:val="Compact"/>
              <w:jc w:val="left"/>
            </w:pPr>
            <w:r>
              <w:rPr>
                <w:bCs/>
                <w:b/>
              </w:rPr>
              <w:t xml:space="preserve">$518,482.50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and the municipal ordinances of the City of Los Angeles. Any disputes arising under this Purchase Order shall be resolved through binding arbitration in Los Angeles, California, in accordance with the rules of the American Arbitration Association.</w:t>
      </w:r>
    </w:p>
    <w:p>
      <w:pPr>
        <w:numPr>
          <w:ilvl w:val="0"/>
          <w:numId w:val="1001"/>
        </w:numPr>
        <w:pStyle w:val="Compact"/>
      </w:pPr>
      <w:r>
        <w:rPr>
          <w:bCs/>
          <w:b/>
        </w:rPr>
        <w:t xml:space="preserve">Architect Licensing:</w:t>
      </w:r>
      <w:r>
        <w:t xml:space="preserve"> </w:t>
      </w:r>
      <w:r>
        <w:t xml:space="preserve">The Architect, Dr. Elena M. Harlow, warrants that she holds a valid, active license to practice architecture in the State of California, United States (License No. A-118472), and that all architectural drawings and documents produced under this Purchase Order shall bear her professional seal and signature as required by the California Business and Professions Code, Division 2, Chapter 6.</w:t>
      </w:r>
    </w:p>
    <w:p>
      <w:pPr>
        <w:numPr>
          <w:ilvl w:val="0"/>
          <w:numId w:val="1001"/>
        </w:numPr>
        <w:pStyle w:val="Compact"/>
      </w:pPr>
      <w:r>
        <w:rPr>
          <w:bCs/>
          <w:b/>
        </w:rPr>
        <w:t xml:space="preserve">Payment Schedule:</w:t>
      </w:r>
      <w:r>
        <w:t xml:space="preserve"> </w:t>
      </w:r>
      <w:r>
        <w:t xml:space="preserve">Invoices shall be submitted upon completion of each phase as defined in the line items above. Payment is due within thirty (30) calendar days of receipt of a valid invoice. Late payments shall accrue interest at a rate of 1.5% per month, consistent with California Commercial Code Section 2310, as applicable in the United States.</w:t>
      </w:r>
    </w:p>
    <w:p>
      <w:pPr>
        <w:numPr>
          <w:ilvl w:val="0"/>
          <w:numId w:val="1001"/>
        </w:numPr>
        <w:pStyle w:val="Compact"/>
      </w:pPr>
      <w:r>
        <w:rPr>
          <w:bCs/>
          <w:b/>
        </w:rPr>
        <w:t xml:space="preserve">Intellectual Property:</w:t>
      </w:r>
      <w:r>
        <w:t xml:space="preserve"> </w:t>
      </w:r>
      <w:r>
        <w:t xml:space="preserve">All architectural plans, drawings, models, and design documents created by the Architect under this Purchase Order shall become the sole property of Meridian Development Group, LLC upon full payment. The Architect retains the right to display the completed project in professional portfolios and to submit the work for AIA and local Los Angeles architectural award recognition.</w:t>
      </w:r>
    </w:p>
    <w:p>
      <w:pPr>
        <w:numPr>
          <w:ilvl w:val="0"/>
          <w:numId w:val="1001"/>
        </w:numPr>
        <w:pStyle w:val="Compact"/>
      </w:pPr>
      <w:r>
        <w:rPr>
          <w:bCs/>
          <w:b/>
        </w:rPr>
        <w:t xml:space="preserve">Insurance Requirements:</w:t>
      </w:r>
      <w:r>
        <w:t xml:space="preserve"> </w:t>
      </w:r>
      <w:r>
        <w:t xml:space="preserve">The Architect shall maintain, at minimum, Professional Liability (Errors &amp; Omissions) insurance in the amount of $2,000,000 per occurrence and $5,000,000 aggregate, General Liability insurance of $1,000,000, and Workers' Compensation insurance as required by the State of California. Certificates of insurance naming Meridian Development Group, LLC as additional insured must be provided prior to commencement of work.</w:t>
      </w:r>
    </w:p>
    <w:p>
      <w:pPr>
        <w:numPr>
          <w:ilvl w:val="0"/>
          <w:numId w:val="1001"/>
        </w:numPr>
        <w:pStyle w:val="Compact"/>
      </w:pPr>
      <w:r>
        <w:rPr>
          <w:bCs/>
          <w:b/>
        </w:rPr>
        <w:t xml:space="preserve">Compliance with Local Regulations:</w:t>
      </w:r>
      <w:r>
        <w:t xml:space="preserve"> </w:t>
      </w:r>
      <w:r>
        <w:t xml:space="preserve">The Architect shall ensure full compliance with all applicable building codes, zoning ordinances, and environmental regulations of the City of Los Angeles, County of Los Angeles, and the State of California, United States. This includes but is not limited to the Los Angeles Municipal Code, the California Building Standards Code (Title 24), the Los Angeles Green Building Ordinance, and all applicable U.S. federal accessibility standards (ADA/ABA).</w:t>
      </w:r>
    </w:p>
    <w:p>
      <w:pPr>
        <w:numPr>
          <w:ilvl w:val="0"/>
          <w:numId w:val="1001"/>
        </w:numPr>
        <w:pStyle w:val="Compact"/>
      </w:pPr>
      <w:r>
        <w:rPr>
          <w:bCs/>
          <w:b/>
        </w:rPr>
        <w:t xml:space="preserve">Change Orders:</w:t>
      </w:r>
      <w:r>
        <w:t xml:space="preserve"> </w:t>
      </w:r>
      <w:r>
        <w:t xml:space="preserve">Any modification to the scope of architectural services defined in this Purchase Order must be documented in a written Change Order signed by both parties. No additional work shall be performed, and no additional compensation shall be owed, without such a Change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Architect shall be compensated for all services rendered and expenses incurred up to the date of termination, less any retainage.</w:t>
      </w:r>
    </w:p>
    <w:p>
      <w:pPr>
        <w:numPr>
          <w:ilvl w:val="0"/>
          <w:numId w:val="1001"/>
        </w:numPr>
        <w:pStyle w:val="Compact"/>
      </w:pPr>
      <w:r>
        <w:rPr>
          <w:bCs/>
          <w:b/>
        </w:rPr>
        <w:t xml:space="preserve">Confidentiality:</w:t>
      </w:r>
      <w:r>
        <w:t xml:space="preserve"> </w:t>
      </w:r>
      <w:r>
        <w:t xml:space="preserve">Both parties agree to maintain the confidentiality of all project-specific information, financial data, and proprietary design concepts exchanged in connection with this Purchase Order. This obligation shall survive termination for a period of five (5) years.</w:t>
      </w:r>
    </w:p>
    <w:p>
      <w:pPr>
        <w:numPr>
          <w:ilvl w:val="0"/>
          <w:numId w:val="1001"/>
        </w:numPr>
        <w:pStyle w:val="Compact"/>
      </w:pPr>
      <w:r>
        <w:rPr>
          <w:bCs/>
          <w:b/>
        </w:rPr>
        <w:t xml:space="preserve">Dispute Resolution &amp; Venue:</w:t>
      </w:r>
      <w:r>
        <w:t xml:space="preserve"> </w:t>
      </w:r>
      <w:r>
        <w:t xml:space="preserve">All legal proceedings related to this Purchase Order shall take place exclusively in the Superior Court of California, County of Los Angeles, United States, or by arbitration as specified in Section 1.</w:t>
      </w:r>
    </w:p>
    <w:bookmarkEnd w:id="24"/>
    <w:bookmarkStart w:id="25" w:name="authorized-signatures"/>
    <w:p>
      <w:pPr>
        <w:pStyle w:val="Heading2"/>
      </w:pPr>
      <w:r>
        <w:t xml:space="preserve">Authorized Signatures</w:t>
      </w:r>
    </w:p>
    <w:p>
      <w:pPr>
        <w:pStyle w:val="FirstParagraph"/>
      </w:pPr>
      <w:r>
        <w:rPr>
          <w:bCs/>
          <w:b/>
        </w:rPr>
        <w:t xml:space="preserve">For the Buyer:</w:t>
      </w:r>
      <w:r>
        <w:br/>
      </w:r>
      <w:r>
        <w:t xml:space="preserve">Meridian Development Group, LLC</w:t>
      </w:r>
    </w:p>
    <w:p>
      <w:pPr>
        <w:pStyle w:val="BodyText"/>
      </w:pPr>
      <w:r>
        <w:rPr>
          <w:bCs/>
          <w:b/>
        </w:rPr>
        <w:t xml:space="preserve">Name:</w:t>
      </w:r>
      <w:r>
        <w:t xml:space="preserve"> </w:t>
      </w:r>
      <w:r>
        <w:t xml:space="preserve">Jonathan R. Whitfield</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Architect / Vendor:</w:t>
      </w:r>
      <w:r>
        <w:br/>
      </w:r>
      <w:r>
        <w:t xml:space="preserve">Harlow &amp; Voss Architects, Inc.</w:t>
      </w:r>
    </w:p>
    <w:p>
      <w:pPr>
        <w:pStyle w:val="BodyText"/>
      </w:pPr>
      <w:r>
        <w:rPr>
          <w:bCs/>
          <w:b/>
        </w:rPr>
        <w:t xml:space="preserve">Name:</w:t>
      </w:r>
      <w:r>
        <w:t xml:space="preserve"> </w:t>
      </w:r>
      <w:r>
        <w:t xml:space="preserve">Dr. Elena M. Harlow, AIA</w:t>
      </w:r>
      <w:r>
        <w:br/>
      </w:r>
      <w:r>
        <w:rPr>
          <w:bCs/>
          <w:b/>
        </w:rPr>
        <w:t xml:space="preserve">Title:</w:t>
      </w:r>
      <w:r>
        <w:t xml:space="preserve"> </w:t>
      </w:r>
      <w:r>
        <w:t xml:space="preserve">Principal Architect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5"/>
    <w:p>
      <w:pPr>
        <w:pStyle w:val="BodyText"/>
      </w:pPr>
      <w:r>
        <w:t xml:space="preserve">This Purchase Order (PO-2025-LA-04782) is issued by Meridian Development Group, LLC for the engagement of architectural professional services by Harlow &amp; Voss Architects, Inc. The project is situated in Los Angeles, California, United States. This document constitutes a binding agreement upon execution by both parties. All references to "Architect" herein refer to the licensed professional and firm identified in the Vendor section. This Purchase Order is subject to all applicable federal, state (California), and municipal (City of Los Angeles) laws of the United States.</w:t>
      </w:r>
    </w:p>
    <w:p>
      <w:pPr>
        <w:pStyle w:val="BodyText"/>
      </w:pPr>
      <w:r>
        <w:t xml:space="preserve">© 2025 Meridian Development Group, LLC — All Rights Reserved —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Los Angeles, United States</dc:title>
  <dc:creator/>
  <dc:language>en</dc:language>
  <cp:keywords/>
  <dcterms:created xsi:type="dcterms:W3CDTF">2026-10-10T05:09:47Z</dcterms:created>
  <dcterms:modified xsi:type="dcterms:W3CDTF">2026-10-10T05:09:47Z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