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Architectural Design &amp; Professional Services</w:t>
      </w:r>
    </w:p>
    <w:p>
      <w:pPr>
        <w:pStyle w:val="BodyText"/>
      </w:pPr>
      <w:r>
        <w:t xml:space="preserve">MIAMI, FLORIDA</w:t>
      </w:r>
      <w:r>
        <w:t xml:space="preserve"> </w:t>
      </w:r>
      <w:r>
        <w:t xml:space="preserve">UNITED STATES</w:t>
      </w:r>
    </w:p>
    <w:bookmarkEnd w:id="20"/>
    <w:p>
      <w:pPr>
        <w:pStyle w:val="BodyText"/>
      </w:pPr>
      <w:r>
        <w:t xml:space="preserve">Purchase Order Number:</w:t>
      </w:r>
      <w:r>
        <w:t xml:space="preserve"> </w:t>
      </w:r>
      <w:r>
        <w:t xml:space="preserve">PO-MIA-2025-04871</w:t>
      </w:r>
    </w:p>
    <w:p>
      <w:pPr>
        <w:pStyle w:val="BodyText"/>
      </w:pPr>
      <w:r>
        <w:t xml:space="preserve">Date of Issue:</w:t>
      </w:r>
      <w:r>
        <w:t xml:space="preserve"> </w:t>
      </w:r>
      <w:r>
        <w:t xml:space="preserve">June 12, 2025</w:t>
      </w:r>
    </w:p>
    <w:p>
      <w:pPr>
        <w:pStyle w:val="BodyText"/>
      </w:pPr>
      <w:r>
        <w:t xml:space="preserve">Required Delivery / Commencement Date:</w:t>
      </w:r>
      <w:r>
        <w:t xml:space="preserve"> </w:t>
      </w:r>
      <w:r>
        <w:t xml:space="preserve">July 1, 2025</w:t>
      </w:r>
    </w:p>
    <w:p>
      <w:pPr>
        <w:pStyle w:val="BodyText"/>
      </w:pPr>
      <w:r>
        <w:t xml:space="preserve">Project Location:</w:t>
      </w:r>
      <w:r>
        <w:t xml:space="preserve"> </w:t>
      </w:r>
      <w:r>
        <w:t xml:space="preserve">1200 Biscayne Boulevard, Miami, FL 33132, United States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Development Group, LLC</w:t>
            </w:r>
          </w:p>
        </w:tc>
      </w:tr>
      <w:tr>
        <w:tc>
          <w:tcPr/>
          <w:p>
            <w:pPr>
              <w:pStyle w:val="Compact"/>
              <w:jc w:val="left"/>
            </w:pPr>
            <w:r>
              <w:rPr>
                <w:bCs/>
                <w:b/>
              </w:rPr>
              <w:t xml:space="preserve">Address:</w:t>
            </w:r>
          </w:p>
        </w:tc>
        <w:tc>
          <w:tcPr/>
          <w:p>
            <w:pPr>
              <w:pStyle w:val="Compact"/>
              <w:jc w:val="left"/>
            </w:pPr>
            <w:r>
              <w:t xml:space="preserve">8901 Brickell Avenue, Suite 2100, Miami, Florida 33131, United States</w:t>
            </w:r>
          </w:p>
        </w:tc>
      </w:tr>
      <w:tr>
        <w:tc>
          <w:tcPr/>
          <w:p>
            <w:pPr>
              <w:pStyle w:val="Compact"/>
              <w:jc w:val="left"/>
            </w:pPr>
            <w:r>
              <w:rPr>
                <w:bCs/>
                <w:b/>
              </w:rPr>
              <w:t xml:space="preserve">Contact Person:</w:t>
            </w:r>
          </w:p>
        </w:tc>
        <w:tc>
          <w:tcPr/>
          <w:p>
            <w:pPr>
              <w:pStyle w:val="Compact"/>
              <w:jc w:val="left"/>
            </w:pPr>
            <w:r>
              <w:t xml:space="preserve">Ms. Elena Vasquez, Director of Procurement</w:t>
            </w:r>
          </w:p>
        </w:tc>
      </w:tr>
      <w:tr>
        <w:tc>
          <w:tcPr/>
          <w:p>
            <w:pPr>
              <w:pStyle w:val="Compact"/>
              <w:jc w:val="left"/>
            </w:pPr>
            <w:r>
              <w:rPr>
                <w:bCs/>
                <w:b/>
              </w:rPr>
              <w:t xml:space="preserve">Email / Phone:</w:t>
            </w:r>
          </w:p>
        </w:tc>
        <w:tc>
          <w:tcPr/>
          <w:p>
            <w:pPr>
              <w:pStyle w:val="Compact"/>
              <w:jc w:val="left"/>
            </w:pPr>
            <w:r>
              <w:t xml:space="preserve">e.vasquez@meridiandev.com / (305) 555-0142</w:t>
            </w:r>
          </w:p>
        </w:tc>
      </w:tr>
      <w:tr>
        <w:tc>
          <w:tcPr/>
          <w:p>
            <w:pPr>
              <w:pStyle w:val="Compact"/>
              <w:jc w:val="left"/>
            </w:pPr>
            <w:r>
              <w:rPr>
                <w:bCs/>
                <w:b/>
              </w:rPr>
              <w:t xml:space="preserve">Tax ID (EIN):</w:t>
            </w:r>
          </w:p>
        </w:tc>
        <w:tc>
          <w:tcPr/>
          <w:p>
            <w:pPr>
              <w:pStyle w:val="Compact"/>
              <w:jc w:val="left"/>
            </w:pPr>
            <w:r>
              <w:t xml:space="preserve">82-4471903</w:t>
            </w:r>
          </w:p>
        </w:tc>
      </w:tr>
    </w:tbl>
    <w:p>
      <w:pPr>
        <w:pStyle w:val="BodyText"/>
      </w:pPr>
      <w:r>
        <w:t xml:space="preserve">Vendor / Architect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Palmetto &amp; Stone Architects, P.A.</w:t>
            </w:r>
          </w:p>
        </w:tc>
      </w:tr>
      <w:tr>
        <w:tc>
          <w:tcPr/>
          <w:p>
            <w:pPr>
              <w:pStyle w:val="Compact"/>
              <w:jc w:val="left"/>
            </w:pPr>
            <w:r>
              <w:rPr>
                <w:bCs/>
                <w:b/>
              </w:rPr>
              <w:t xml:space="preserve">Lead Architect:</w:t>
            </w:r>
          </w:p>
        </w:tc>
        <w:tc>
          <w:tcPr/>
          <w:p>
            <w:pPr>
              <w:pStyle w:val="Compact"/>
              <w:jc w:val="left"/>
            </w:pPr>
            <w:r>
              <w:t xml:space="preserve">Mr. Rafael Ortiz, AIA, NCARB Registered Architect</w:t>
            </w:r>
          </w:p>
        </w:tc>
      </w:tr>
      <w:tr>
        <w:tc>
          <w:tcPr/>
          <w:p>
            <w:pPr>
              <w:pStyle w:val="Compact"/>
              <w:jc w:val="left"/>
            </w:pPr>
            <w:r>
              <w:rPr>
                <w:bCs/>
                <w:b/>
              </w:rPr>
              <w:t xml:space="preserve">Address:</w:t>
            </w:r>
          </w:p>
        </w:tc>
        <w:tc>
          <w:tcPr/>
          <w:p>
            <w:pPr>
              <w:pStyle w:val="Compact"/>
              <w:jc w:val="left"/>
            </w:pPr>
            <w:r>
              <w:t xml:space="preserve">4501 Northeast 2nd Avenue, Suite 300, Miami, Florida 33137, United States</w:t>
            </w:r>
          </w:p>
        </w:tc>
      </w:tr>
      <w:tr>
        <w:tc>
          <w:tcPr/>
          <w:p>
            <w:pPr>
              <w:pStyle w:val="Compact"/>
              <w:jc w:val="left"/>
            </w:pPr>
            <w:r>
              <w:rPr>
                <w:bCs/>
                <w:b/>
              </w:rPr>
              <w:t xml:space="preserve">Florida License No.:</w:t>
            </w:r>
          </w:p>
        </w:tc>
        <w:tc>
          <w:tcPr/>
          <w:p>
            <w:pPr>
              <w:pStyle w:val="Compact"/>
              <w:jc w:val="left"/>
            </w:pPr>
            <w:r>
              <w:t xml:space="preserve">AR-2019847 (State of Florida, United States)</w:t>
            </w:r>
          </w:p>
        </w:tc>
      </w:tr>
      <w:tr>
        <w:tc>
          <w:tcPr/>
          <w:p>
            <w:pPr>
              <w:pStyle w:val="Compact"/>
              <w:jc w:val="left"/>
            </w:pPr>
            <w:r>
              <w:rPr>
                <w:bCs/>
                <w:b/>
              </w:rPr>
              <w:t xml:space="preserve">Contact:</w:t>
            </w:r>
          </w:p>
        </w:tc>
        <w:tc>
          <w:tcPr/>
          <w:p>
            <w:pPr>
              <w:pStyle w:val="Compact"/>
              <w:jc w:val="left"/>
            </w:pPr>
            <w:r>
              <w:t xml:space="preserve">r.ortiz@palmettostone.com / (305) 555-0287</w:t>
            </w:r>
          </w:p>
        </w:tc>
      </w:tr>
      <w:tr>
        <w:tc>
          <w:tcPr/>
          <w:p>
            <w:pPr>
              <w:pStyle w:val="Compact"/>
              <w:jc w:val="left"/>
            </w:pPr>
            <w:r>
              <w:rPr>
                <w:bCs/>
                <w:b/>
              </w:rPr>
              <w:t xml:space="preserve">Tax ID (EIN):</w:t>
            </w:r>
          </w:p>
        </w:tc>
        <w:tc>
          <w:tcPr/>
          <w:p>
            <w:pPr>
              <w:pStyle w:val="Compact"/>
              <w:jc w:val="left"/>
            </w:pPr>
            <w:r>
              <w:t xml:space="preserve">59-8823417</w:t>
            </w:r>
          </w:p>
        </w:tc>
      </w:tr>
    </w:tbl>
    <w:p>
      <w:pPr>
        <w:pStyle w:val="BodyText"/>
      </w:pPr>
      <w:r>
        <w:t xml:space="preserve">Description of Architectural Services</w:t>
      </w:r>
    </w:p>
    <w:p>
      <w:pPr>
        <w:pStyle w:val="BodyText"/>
      </w:pPr>
      <w:r>
        <w:t xml:space="preserve">This Purchase Order is issued by Meridian Development Group, LLC (hereinafter referred to as the "Buyer") to Palmetto &amp; Stone Architects, P.A. (hereinafter referred to as the "Architect") for the provision of comprehensive architectural design, planning, and documentation services for the construction of a mixed-use commercial and residential development located in Miami, Florida, United States. The Architect shall be responsible for all phases of design from conceptual planning through construction administration, in full compliance with the Miami-Dade County Building Code, the Florida Building Code, and all applicable federal regulations of the United States.</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Conceptual Design &amp; Schematic Design – Development of initial architectural concepts, massing studies, site planning, and schematic drawings for a 12-story mixed-use building in downtown Miami, United States.</w:t>
            </w:r>
          </w:p>
        </w:tc>
        <w:tc>
          <w:tcPr/>
          <w:p>
            <w:pPr>
              <w:pStyle w:val="Compact"/>
              <w:jc w:val="left"/>
            </w:pPr>
            <w:r>
              <w:t xml:space="preserve">SD</w:t>
            </w:r>
          </w:p>
        </w:tc>
        <w:tc>
          <w:tcPr/>
          <w:p>
            <w:pPr>
              <w:pStyle w:val="Compact"/>
              <w:jc w:val="left"/>
            </w:pPr>
            <w:r>
              <w:t xml:space="preserve">8 weeks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Development – Refinement of architectural design, material selections, structural coordination, MEP coordination, and preparation of 75% design development drawings compliant with Miami-Dade County zoning ordinances.</w:t>
            </w:r>
          </w:p>
        </w:tc>
        <w:tc>
          <w:tcPr/>
          <w:p>
            <w:pPr>
              <w:pStyle w:val="Compact"/>
              <w:jc w:val="left"/>
            </w:pPr>
            <w:r>
              <w:t xml:space="preserve">DD</w:t>
            </w:r>
          </w:p>
        </w:tc>
        <w:tc>
          <w:tcPr/>
          <w:p>
            <w:pPr>
              <w:pStyle w:val="Compact"/>
              <w:jc w:val="left"/>
            </w:pPr>
            <w:r>
              <w:t xml:space="preserve">10 weeks</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Construction Documents – Production of 100% construction drawings, specifications, and permit submittal packages for review and approval by the Miami-Dade County Department of Regulatory and Economic Permits.</w:t>
            </w:r>
          </w:p>
        </w:tc>
        <w:tc>
          <w:tcPr/>
          <w:p>
            <w:pPr>
              <w:pStyle w:val="Compact"/>
              <w:jc w:val="left"/>
            </w:pPr>
            <w:r>
              <w:t xml:space="preserve">CD</w:t>
            </w:r>
          </w:p>
        </w:tc>
        <w:tc>
          <w:tcPr/>
          <w:p>
            <w:pPr>
              <w:pStyle w:val="Compact"/>
              <w:jc w:val="left"/>
            </w:pPr>
            <w:r>
              <w:t xml:space="preserve">14 weeks</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Bidding &amp; Negotiation Support – Architect's assistance in preparing bid documents, conducting pre-bid conferences, reviewing contractor proposals, and advising the Buyer on contract terms for construction in Miami, Florida.</w:t>
            </w:r>
          </w:p>
        </w:tc>
        <w:tc>
          <w:tcPr/>
          <w:p>
            <w:pPr>
              <w:pStyle w:val="Compact"/>
              <w:jc w:val="left"/>
            </w:pPr>
            <w:r>
              <w:t xml:space="preserve">BN</w:t>
            </w:r>
          </w:p>
        </w:tc>
        <w:tc>
          <w:tcPr/>
          <w:p>
            <w:pPr>
              <w:pStyle w:val="Compact"/>
              <w:jc w:val="left"/>
            </w:pPr>
            <w:r>
              <w:t xml:space="preserve">4 weeks</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Construction Administration – On-site observation, review of shop drawings, submittals, and RFIs; monthly progress reports; and final punch-list documentation throughout the construction period in the United States.</w:t>
            </w:r>
          </w:p>
        </w:tc>
        <w:tc>
          <w:tcPr/>
          <w:p>
            <w:pPr>
              <w:pStyle w:val="Compact"/>
              <w:jc w:val="left"/>
            </w:pPr>
            <w:r>
              <w:t xml:space="preserve">CA</w:t>
            </w:r>
          </w:p>
        </w:tc>
        <w:tc>
          <w:tcPr/>
          <w:p>
            <w:pPr>
              <w:pStyle w:val="Compact"/>
              <w:jc w:val="left"/>
            </w:pPr>
            <w:r>
              <w:t xml:space="preserve">26 weeks</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6</w:t>
            </w:r>
          </w:p>
        </w:tc>
        <w:tc>
          <w:tcPr/>
          <w:p>
            <w:pPr>
              <w:pStyle w:val="Compact"/>
              <w:jc w:val="left"/>
            </w:pPr>
            <w:r>
              <w:t xml:space="preserve">LEED / Green Building Certification Consulting – Architect-led sustainability strategy, energy modeling, and documentation support for LEED Gold certification as required by Miami's green building incentive program.</w:t>
            </w:r>
          </w:p>
        </w:tc>
        <w:tc>
          <w:tcPr/>
          <w:p>
            <w:pPr>
              <w:pStyle w:val="Compact"/>
              <w:jc w:val="left"/>
            </w:pPr>
            <w:r>
              <w:t xml:space="preserve">SB</w:t>
            </w:r>
          </w:p>
        </w:tc>
        <w:tc>
          <w:tcPr/>
          <w:p>
            <w:pPr>
              <w:pStyle w:val="Compact"/>
              <w:jc w:val="left"/>
            </w:pPr>
            <w:r>
              <w:t xml:space="preserve">12 weeks</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right"/>
            </w:pPr>
            <w:r>
              <w:t xml:space="preserve">TOTAL CONTRACT VALUE (USD):</w:t>
            </w:r>
          </w:p>
        </w:tc>
        <w:tc>
          <w:tcPr/>
          <w:p>
            <w:pPr>
              <w:pStyle w:val="Compact"/>
              <w:jc w:val="left"/>
            </w:pPr>
            <w:r>
              <w:t xml:space="preserve">$1,053,000.00</w:t>
            </w:r>
          </w:p>
        </w:tc>
      </w:tr>
    </w:tbl>
    <w:p>
      <w:pPr>
        <w:pStyle w:val="BodyText"/>
      </w:pPr>
      <w:r>
        <w:t xml:space="preserve">Terms &amp; Conditions</w:t>
      </w:r>
    </w:p>
    <w:p>
      <w:pPr>
        <w:pStyle w:val="BodyText"/>
      </w:pPr>
      <w:r>
        <w:rPr>
          <w:bCs/>
          <w:b/>
        </w:rPr>
        <w:t xml:space="preserve">1. Governing Law:</w:t>
      </w:r>
      <w:r>
        <w:t xml:space="preserve"> </w:t>
      </w:r>
      <w:r>
        <w:t xml:space="preserve">This Purchase Order and all associated services shall be governed by and construed in accordance with the laws of the State of Florida, United States. Any disputes arising hereunder shall be subject to the exclusive jurisdiction of the state and federal courts located in Miami-Dade County, Miami, Florida, United States.</w:t>
      </w:r>
    </w:p>
    <w:p>
      <w:pPr>
        <w:pStyle w:val="BodyText"/>
      </w:pPr>
      <w:r>
        <w:rPr>
          <w:bCs/>
          <w:b/>
        </w:rPr>
        <w:t xml:space="preserve">2. Payment Schedule:</w:t>
      </w:r>
      <w:r>
        <w:t xml:space="preserve"> </w:t>
      </w:r>
      <w:r>
        <w:t xml:space="preserve">The Buyer shall remit payment to the Architect within thirty (30) calendar days of receipt of a valid invoice corresponding to the completion of each phase as outlined in the line items above. Payments shall be made via wire transfer to the bank account designated by the Architect. Late payments shall accrue interest at a rate of 1.5% per month, in accordance with Florida Statute Chapter 715.</w:t>
      </w:r>
    </w:p>
    <w:p>
      <w:pPr>
        <w:pStyle w:val="BodyText"/>
      </w:pPr>
      <w:r>
        <w:rPr>
          <w:bCs/>
          <w:b/>
        </w:rPr>
        <w:t xml:space="preserve">3. Scope &amp; Changes:</w:t>
      </w:r>
      <w:r>
        <w:t xml:space="preserve"> </w:t>
      </w:r>
      <w:r>
        <w:t xml:space="preserve">The Architect shall perform all services strictly within the scope defined by this Purchase Order. Any additional services, design revisions exceeding two (2) iterations per phase, or changes in project scope must be documented in a written Change Order signed by both parties before execution. Change Orders shall be billed at the Architect's standard hourly rate of $275.00 per hour.</w:t>
      </w:r>
    </w:p>
    <w:p>
      <w:pPr>
        <w:pStyle w:val="BodyText"/>
      </w:pPr>
      <w:r>
        <w:rPr>
          <w:bCs/>
          <w:b/>
        </w:rPr>
        <w:t xml:space="preserve">4. Permits &amp; Approvals:</w:t>
      </w:r>
      <w:r>
        <w:t xml:space="preserve"> </w:t>
      </w:r>
      <w:r>
        <w:t xml:space="preserve">The Architect is responsible for preparing and submitting all architectural permit applications to the Miami-Dade County Department of Regulatory and Economic Permits and any other applicable United States federal or state agencies. The Buyer shall be responsible for all permit fees, impact fees, and governmental charges assessed in the City of Miami.</w:t>
      </w:r>
    </w:p>
    <w:p>
      <w:pPr>
        <w:pStyle w:val="BodyText"/>
      </w:pPr>
      <w:r>
        <w:rPr>
          <w:bCs/>
          <w:b/>
        </w:rPr>
        <w:t xml:space="preserve">5. Insurance &amp; Indemnification:</w:t>
      </w:r>
      <w:r>
        <w:t xml:space="preserve"> </w:t>
      </w:r>
      <w:r>
        <w:t xml:space="preserve">The Architect shall maintain professional liability (errors and omissions) insurance with a minimum coverage of $2,000,000 per occurrence and $4,000,000 in the aggregate, as well as general liability insurance of $1,000,000. The Architect shall indemnify and hold harmless the Buyer from any claims arising from the Architect's negligence or failure to comply with the Florida Building Code or Miami-Dade County regulations.</w:t>
      </w:r>
    </w:p>
    <w:p>
      <w:pPr>
        <w:pStyle w:val="BodyText"/>
      </w:pPr>
      <w:r>
        <w:rPr>
          <w:bCs/>
          <w:b/>
        </w:rPr>
        <w:t xml:space="preserve">6. Intellectual Property:</w:t>
      </w:r>
      <w:r>
        <w:t xml:space="preserve"> </w:t>
      </w:r>
      <w:r>
        <w:t xml:space="preserve">Upon full payment of all amounts due under this Purchase Order, all final construction documents, drawings, and design files produced by the Architect shall become the property of the Buyer. The Architect retains the right to use the project for portfolio and marketing purposes, subject to the Buyer's written approval.</w:t>
      </w:r>
    </w:p>
    <w:p>
      <w:pPr>
        <w:pStyle w:val="BodyText"/>
      </w:pPr>
      <w:r>
        <w:rPr>
          <w:bCs/>
          <w:b/>
        </w:rPr>
        <w:t xml:space="preserve">7. Termination:</w:t>
      </w:r>
      <w:r>
        <w:t xml:space="preserve"> </w:t>
      </w:r>
      <w:r>
        <w:t xml:space="preserve">Either party may terminate this Purchase Order with thirty (30) days' written notice. In the event of termination, the Buyer shall pay the Architect for all services rendered and expenses incurred up to the date of termination, plus a reasonable demobilization fee not to exceed 5% of the remaining contract value.</w:t>
      </w:r>
    </w:p>
    <w:p>
      <w:pPr>
        <w:pStyle w:val="BodyText"/>
      </w:pPr>
      <w:r>
        <w:rPr>
          <w:bCs/>
          <w:b/>
        </w:rPr>
        <w:t xml:space="preserve">8. Compliance:</w:t>
      </w:r>
      <w:r>
        <w:t xml:space="preserve"> </w:t>
      </w:r>
      <w:r>
        <w:t xml:space="preserve">The Architect warrants that all services shall comply with the Americans with Disabilities Act (ADA), the Florida Building Code, Miami-Dade County Land Development Regulations, and all applicable United States federal, state, and local building codes and ordinances in effect at the time of design and construction.</w:t>
      </w:r>
    </w:p>
    <w:p>
      <w:pPr>
        <w:pStyle w:val="BodyText"/>
      </w:pPr>
      <w:r>
        <w:t xml:space="preserve">Acceptance &amp; Authorization</w:t>
      </w:r>
    </w:p>
    <w:p>
      <w:pPr>
        <w:pStyle w:val="BodyText"/>
      </w:pPr>
      <w:r>
        <w:t xml:space="preserve">By signing below, both parties acknowledge and agree to all terms, conditions, and specifications set forth in this Purchase Order for Architectural Services in Miami, Florida, United States. This document constitutes a binding agreement effective as of the date of the last signature.</w:t>
      </w:r>
    </w:p>
    <w:p>
      <w:pPr>
        <w:pStyle w:val="BodyText"/>
      </w:pPr>
      <w:r>
        <w:rPr>
          <w:bCs/>
          <w:b/>
        </w:rPr>
        <w:t xml:space="preserve">For the Buyer:</w:t>
      </w:r>
      <w:r>
        <w:t xml:space="preserve"> </w:t>
      </w:r>
      <w:r>
        <w:t xml:space="preserve">Meridian Development Group, LLC</w:t>
      </w:r>
      <w:r>
        <w:br/>
      </w:r>
      <w:r>
        <w:t xml:space="preserve">Name: Elena Vasquez</w:t>
      </w:r>
      <w:r>
        <w:br/>
      </w:r>
      <w:r>
        <w:t xml:space="preserve">Title: Director of Procurement</w:t>
      </w:r>
      <w:r>
        <w:br/>
      </w:r>
      <w:r>
        <w:t xml:space="preserve">Date: ______________________</w:t>
      </w:r>
    </w:p>
    <w:p>
      <w:pPr>
        <w:pStyle w:val="BodyText"/>
      </w:pPr>
      <w:r>
        <w:rPr>
          <w:bCs/>
          <w:b/>
        </w:rPr>
        <w:t xml:space="preserve">For the Architect:</w:t>
      </w:r>
      <w:r>
        <w:t xml:space="preserve"> </w:t>
      </w:r>
      <w:r>
        <w:t xml:space="preserve">Palmetto &amp; Stone Architects, P.A.</w:t>
      </w:r>
      <w:r>
        <w:br/>
      </w:r>
      <w:r>
        <w:t xml:space="preserve">Name: Rafael Ortiz, AIA, NCARB</w:t>
      </w:r>
      <w:r>
        <w:br/>
      </w:r>
      <w:r>
        <w:t xml:space="preserve">Title: Principal Architect</w:t>
      </w:r>
      <w:r>
        <w:br/>
      </w:r>
      <w:r>
        <w:t xml:space="preserve">Date: ______________________</w:t>
      </w:r>
    </w:p>
    <w:p>
      <w:pPr>
        <w:pStyle w:val="BodyText"/>
      </w:pPr>
      <w:r>
        <w:t xml:space="preserve">Purchase Order PO-MIA-2025-04871 | Meridian Development Group, LLC | Miami, Florida, United States</w:t>
      </w:r>
    </w:p>
    <w:p>
      <w:pPr>
        <w:pStyle w:val="BodyText"/>
      </w:pPr>
      <w:r>
        <w:t xml:space="preserve">This document is valid for 60 days from the date of issue.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Miami, United States</dc:title>
  <dc:creator/>
  <dc:language>en</dc:language>
  <cp:keywords/>
  <dcterms:created xsi:type="dcterms:W3CDTF">2026-10-10T04:34:11Z</dcterms:created>
  <dcterms:modified xsi:type="dcterms:W3CDTF">2026-10-10T04:34:11Z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