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Architectural Design &amp; Professional Services — United States New York City</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ARC-2025-MANHATTAN-034</w:t>
      </w:r>
      <w:r>
        <w:br/>
      </w:r>
      <w:r>
        <w:rPr>
          <w:bCs/>
          <w:b/>
        </w:rPr>
        <w:t xml:space="preserve">Classification:</w:t>
      </w:r>
      <w:r>
        <w:t xml:space="preserve"> </w:t>
      </w:r>
      <w:r>
        <w:t xml:space="preserve">Professional Services</w:t>
      </w:r>
      <w:r>
        <w:br/>
      </w:r>
      <w:r>
        <w:rPr>
          <w:bCs/>
          <w:b/>
        </w:rPr>
        <w:t xml:space="preserve">Jurisdiction:</w:t>
      </w:r>
      <w:r>
        <w:t xml:space="preserve"> </w:t>
      </w:r>
      <w:r>
        <w:t xml:space="preserve">United States New York City</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Meridian Development Group, LLC</w:t>
      </w:r>
    </w:p>
    <w:p>
      <w:pPr>
        <w:pStyle w:val="BodyText"/>
      </w:pPr>
      <w:r>
        <w:t xml:space="preserve">1285 Avenue of the Americas, 34th Floor</w:t>
      </w:r>
    </w:p>
    <w:p>
      <w:pPr>
        <w:pStyle w:val="BodyText"/>
      </w:pPr>
      <w:r>
        <w:t xml:space="preserve">New York, NY 10020</w:t>
      </w:r>
    </w:p>
    <w:p>
      <w:pPr>
        <w:pStyle w:val="BodyText"/>
      </w:pPr>
      <w:r>
        <w:t xml:space="preserve">United States New York City</w:t>
      </w:r>
    </w:p>
    <w:p>
      <w:pPr>
        <w:pStyle w:val="BodyText"/>
      </w:pPr>
      <w:r>
        <w:t xml:space="preserve">Tax ID (EIN): 84-2917365</w:t>
      </w:r>
    </w:p>
    <w:p>
      <w:pPr>
        <w:pStyle w:val="BodyText"/>
      </w:pPr>
      <w:r>
        <w:t xml:space="preserve">Authorized Representative: Daniel R. Whitfield, VP of Procurement</w:t>
      </w:r>
    </w:p>
    <w:p>
      <w:pPr>
        <w:pStyle w:val="BodyText"/>
      </w:pPr>
      <w:r>
        <w:t xml:space="preserve">Contact: d.whitfield@meridiandev.com | (212) 555-0147</w:t>
      </w:r>
    </w:p>
    <w:bookmarkEnd w:id="21"/>
    <w:bookmarkStart w:id="22" w:name="service-provider-architect"/>
    <w:p>
      <w:pPr>
        <w:pStyle w:val="Heading3"/>
      </w:pPr>
      <w:r>
        <w:t xml:space="preserve">Service Provider (Architect)</w:t>
      </w:r>
    </w:p>
    <w:p>
      <w:pPr>
        <w:pStyle w:val="FirstParagraph"/>
      </w:pPr>
      <w:r>
        <w:rPr>
          <w:bCs/>
          <w:b/>
        </w:rPr>
        <w:t xml:space="preserve">Harlow &amp; Voss Architects, P.C.</w:t>
      </w:r>
    </w:p>
    <w:p>
      <w:pPr>
        <w:pStyle w:val="BodyText"/>
      </w:pPr>
      <w:r>
        <w:t xml:space="preserve">412 West 27th Street, Suite 900</w:t>
      </w:r>
    </w:p>
    <w:p>
      <w:pPr>
        <w:pStyle w:val="BodyText"/>
      </w:pPr>
      <w:r>
        <w:t xml:space="preserve">New York, NY 10001</w:t>
      </w:r>
    </w:p>
    <w:p>
      <w:pPr>
        <w:pStyle w:val="BodyText"/>
      </w:pPr>
      <w:r>
        <w:t xml:space="preserve">United States New York City</w:t>
      </w:r>
    </w:p>
    <w:p>
      <w:pPr>
        <w:pStyle w:val="BodyText"/>
      </w:pPr>
      <w:r>
        <w:t xml:space="preserve">NY State Architect License No.: A-118472</w:t>
      </w:r>
    </w:p>
    <w:p>
      <w:pPr>
        <w:pStyle w:val="BodyText"/>
      </w:pPr>
      <w:r>
        <w:t xml:space="preserve">Authorized Representative: Margaret L. Harlow, Principal Architect, AIA</w:t>
      </w:r>
    </w:p>
    <w:p>
      <w:pPr>
        <w:pStyle w:val="BodyText"/>
      </w:pPr>
      <w:r>
        <w:t xml:space="preserve">Contact: m.harlow@harlowvoss.com | (212) 555-0392</w:t>
      </w:r>
    </w:p>
    <w:bookmarkEnd w:id="22"/>
    <w:p>
      <w:pPr>
        <w:pStyle w:val="BodyText"/>
      </w:pPr>
      <w:r>
        <w:t xml:space="preserve">Description of Architectural Services</w:t>
      </w:r>
    </w:p>
    <w:p>
      <w:pPr>
        <w:pStyle w:val="BodyText"/>
      </w:pPr>
      <w:r>
        <w:t xml:space="preserve">This Purchase Order is issued by Meridian Development Group, LLC (hereinafter referred to as the "Buyer") to Harlow &amp; Voss Architects, P.C. (hereinafter referred to as the "Architect") for the provision of comprehensive architectural design, planning, and consulting services for the construction of a mixed-use commercial and residential development located at 214-218 East 42nd Street, Manhattan, United States New York City. The Architect shall deliver all work in accordance with the New York City Building Code, the New York State Uniform Fire Prevention and Building Code, and all applicable zoning regulations of the City of New York, Borough of Manhattan.</w:t>
      </w:r>
    </w:p>
    <w:p>
      <w:pPr>
        <w:pStyle w:val="BodyText"/>
      </w:pPr>
      <w:r>
        <w:t xml:space="preserve">Line Items &amp; Scope of Work</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Phase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Pre-Design Feasibility Study &amp; Site Analysis for the 214-218 East 42nd Street parcel, United States New York City. Includes topographic survey review, zoning compliance assessment, and preliminary massing studies.</w:t>
            </w:r>
          </w:p>
        </w:tc>
        <w:tc>
          <w:tcPr/>
          <w:p>
            <w:pPr>
              <w:pStyle w:val="Compact"/>
              <w:jc w:val="left"/>
            </w:pPr>
            <w:r>
              <w:t xml:space="preserve">Phase I — Pre-Design</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Schematic Design Development. The Architect shall produce conceptual floor plans, elevation studies, and 3D renderings for a 12-story mixed-use tower with ground-floor retail and 180 residential units.</w:t>
            </w:r>
          </w:p>
        </w:tc>
        <w:tc>
          <w:tcPr/>
          <w:p>
            <w:pPr>
              <w:pStyle w:val="Compact"/>
              <w:jc w:val="left"/>
            </w:pPr>
            <w:r>
              <w:t xml:space="preserve">Phase II — Schematic Design</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$112,000.00</w:t>
            </w:r>
          </w:p>
        </w:tc>
      </w:tr>
      <w:tr>
        <w:tc>
          <w:tcPr/>
          <w:p>
            <w:pPr>
              <w:pStyle w:val="Compact"/>
              <w:jc w:val="left"/>
            </w:pPr>
            <w:r>
              <w:t xml:space="preserve">3</w:t>
            </w:r>
          </w:p>
        </w:tc>
        <w:tc>
          <w:tcPr/>
          <w:p>
            <w:pPr>
              <w:pStyle w:val="Compact"/>
              <w:jc w:val="left"/>
            </w:pPr>
            <w:r>
              <w:t xml:space="preserve">Design Development &amp; Engineering Coordination. Detailed architectural drawings, material specifications, and coordination with structural, mechanical, electrical, and plumbing engineers for the United States New York City project.</w:t>
            </w:r>
          </w:p>
        </w:tc>
        <w:tc>
          <w:tcPr/>
          <w:p>
            <w:pPr>
              <w:pStyle w:val="Compact"/>
              <w:jc w:val="left"/>
            </w:pPr>
            <w:r>
              <w:t xml:space="preserve">Phase III — Design Development</w:t>
            </w:r>
          </w:p>
        </w:tc>
        <w:tc>
          <w:tcPr/>
          <w:p>
            <w:pPr>
              <w:pStyle w:val="Compact"/>
              <w:jc w:val="left"/>
            </w:pPr>
            <w:r>
              <w:t xml:space="preserve">14 weeks</w:t>
            </w:r>
          </w:p>
        </w:tc>
        <w:tc>
          <w:tcPr/>
          <w:p>
            <w:pPr>
              <w:pStyle w:val="Compact"/>
              <w:jc w:val="left"/>
            </w:pPr>
            <w:r>
              <w:t xml:space="preserve">Lump Sum</w:t>
            </w:r>
          </w:p>
        </w:tc>
        <w:tc>
          <w:tcPr/>
          <w:p>
            <w:pPr>
              <w:pStyle w:val="Compact"/>
              <w:jc w:val="left"/>
            </w:pPr>
            <w:r>
              <w:t xml:space="preserve">$167,500.00</w:t>
            </w:r>
          </w:p>
        </w:tc>
      </w:tr>
      <w:tr>
        <w:tc>
          <w:tcPr/>
          <w:p>
            <w:pPr>
              <w:pStyle w:val="Compact"/>
              <w:jc w:val="left"/>
            </w:pPr>
            <w:r>
              <w:t xml:space="preserve">4</w:t>
            </w:r>
          </w:p>
        </w:tc>
        <w:tc>
          <w:tcPr/>
          <w:p>
            <w:pPr>
              <w:pStyle w:val="Compact"/>
              <w:jc w:val="left"/>
            </w:pPr>
            <w:r>
              <w:t xml:space="preserve">Construction Documents &amp; Permit Set. Full set of construction-ready drawings, specifications, and the complete permit application package for submission to the New York City Department of Buildings (DOB) and the Manhattan Borough President's office.</w:t>
            </w:r>
          </w:p>
        </w:tc>
        <w:tc>
          <w:tcPr/>
          <w:p>
            <w:pPr>
              <w:pStyle w:val="Compact"/>
              <w:jc w:val="left"/>
            </w:pPr>
            <w:r>
              <w:t xml:space="preserve">Phase IV — Construction Documents</w:t>
            </w:r>
          </w:p>
        </w:tc>
        <w:tc>
          <w:tcPr/>
          <w:p>
            <w:pPr>
              <w:pStyle w:val="Compact"/>
              <w:jc w:val="left"/>
            </w:pPr>
            <w:r>
              <w:t xml:space="preserve">16 weeks</w:t>
            </w:r>
          </w:p>
        </w:tc>
        <w:tc>
          <w:tcPr/>
          <w:p>
            <w:pPr>
              <w:pStyle w:val="Compact"/>
              <w:jc w:val="left"/>
            </w:pPr>
            <w:r>
              <w:t xml:space="preserve">Lump Sum</w:t>
            </w:r>
          </w:p>
        </w:tc>
        <w:tc>
          <w:tcPr/>
          <w:p>
            <w:pPr>
              <w:pStyle w:val="Compact"/>
              <w:jc w:val="left"/>
            </w:pPr>
            <w:r>
              <w:t xml:space="preserve">$203,000.00</w:t>
            </w:r>
          </w:p>
        </w:tc>
      </w:tr>
      <w:tr>
        <w:tc>
          <w:tcPr/>
          <w:p>
            <w:pPr>
              <w:pStyle w:val="Compact"/>
              <w:jc w:val="left"/>
            </w:pPr>
            <w:r>
              <w:t xml:space="preserve">5</w:t>
            </w:r>
          </w:p>
        </w:tc>
        <w:tc>
          <w:tcPr/>
          <w:p>
            <w:pPr>
              <w:pStyle w:val="Compact"/>
              <w:jc w:val="left"/>
            </w:pPr>
            <w:r>
              <w:t xml:space="preserve">Bid &amp; Negotiation Support. The Architect shall prepare the General Conditions, assist the Buyer in evaluating contractor bids, and negotiate the construction contract for the United States New York City development.</w:t>
            </w:r>
          </w:p>
        </w:tc>
        <w:tc>
          <w:tcPr/>
          <w:p>
            <w:pPr>
              <w:pStyle w:val="Compact"/>
              <w:jc w:val="left"/>
            </w:pPr>
            <w:r>
              <w:t xml:space="preserve">Phase V — Bid &amp; Negotiation</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Construction Administration &amp; Site Observation. The Architect shall conduct bi-weekly site visits, review shop drawings, issue RFIs, and provide progress reports throughout the 24-month construction period in Manhattan, United States New York City.</w:t>
            </w:r>
          </w:p>
        </w:tc>
        <w:tc>
          <w:tcPr/>
          <w:p>
            <w:pPr>
              <w:pStyle w:val="Compact"/>
              <w:jc w:val="left"/>
            </w:pPr>
            <w:r>
              <w:t xml:space="preserve">Phase VI — Construction Administration</w:t>
            </w:r>
          </w:p>
        </w:tc>
        <w:tc>
          <w:tcPr/>
          <w:p>
            <w:pPr>
              <w:pStyle w:val="Compact"/>
              <w:jc w:val="left"/>
            </w:pPr>
            <w:r>
              <w:t xml:space="preserve">24 months</w:t>
            </w:r>
          </w:p>
        </w:tc>
        <w:tc>
          <w:tcPr/>
          <w:p>
            <w:pPr>
              <w:pStyle w:val="Compact"/>
              <w:jc w:val="left"/>
            </w:pPr>
            <w:r>
              <w:t xml:space="preserve">Monthly Rate</w:t>
            </w:r>
          </w:p>
        </w:tc>
        <w:tc>
          <w:tcPr/>
          <w:p>
            <w:pPr>
              <w:pStyle w:val="Compact"/>
              <w:jc w:val="left"/>
            </w:pPr>
            <w:r>
              <w:t xml:space="preserve">$18,750.00 / mo</w:t>
            </w:r>
          </w:p>
        </w:tc>
      </w:tr>
      <w:tr>
        <w:tc>
          <w:tcPr/>
          <w:p>
            <w:pPr>
              <w:pStyle w:val="Compact"/>
              <w:jc w:val="left"/>
            </w:pPr>
            <w:r>
              <w:t xml:space="preserve">7</w:t>
            </w:r>
          </w:p>
        </w:tc>
        <w:tc>
          <w:tcPr/>
          <w:p>
            <w:pPr>
              <w:pStyle w:val="Compact"/>
              <w:jc w:val="left"/>
            </w:pPr>
            <w:r>
              <w:t xml:space="preserve">LEED Gold Certification Consulting. The Architect shall manage the U.S. Green Building Council LEED certification process, including energy modeling, material sourcing documentation, and final certification submission.</w:t>
            </w:r>
          </w:p>
        </w:tc>
        <w:tc>
          <w:tcPr/>
          <w:p>
            <w:pPr>
              <w:pStyle w:val="Compact"/>
              <w:jc w:val="left"/>
            </w:pPr>
            <w:r>
              <w:t xml:space="preserve">Phase VII — Sustainability</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Final As-Built Documentation &amp; Project Closeout. The Architect shall compile and deliver all as-built drawings, operation manuals, and warranty documentation upon substantial completion of the project.</w:t>
            </w:r>
          </w:p>
        </w:tc>
        <w:tc>
          <w:tcPr/>
          <w:p>
            <w:pPr>
              <w:pStyle w:val="Compact"/>
              <w:jc w:val="left"/>
            </w:pPr>
            <w:r>
              <w:t xml:space="preserve">Phase VIII — Closeout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$630,750.00</w:t>
            </w:r>
          </w:p>
        </w:tc>
      </w:tr>
      <w:tr>
        <w:tc>
          <w:tcPr>
            <w:gridSpan w:val="5"/>
          </w:tcPr>
          <w:p>
            <w:pPr>
              <w:pStyle w:val="Compact"/>
              <w:jc w:val="right"/>
            </w:pPr>
            <w:r>
              <w:t xml:space="preserve">Applicable New York State Sales Tax (Professional Services Exempt):</w:t>
            </w:r>
          </w:p>
        </w:tc>
        <w:tc>
          <w:tcPr/>
          <w:p>
            <w:pPr>
              <w:pStyle w:val="Compact"/>
              <w:jc w:val="left"/>
            </w:pPr>
            <w:r>
              <w:t xml:space="preserve">$0.00</w:t>
            </w:r>
          </w:p>
        </w:tc>
      </w:tr>
      <w:tr>
        <w:tc>
          <w:tcPr>
            <w:gridSpan w:val="5"/>
          </w:tcPr>
          <w:p>
            <w:pPr>
              <w:pStyle w:val="Compact"/>
              <w:jc w:val="right"/>
            </w:pPr>
            <w:r>
              <w:rPr>
                <w:bCs/>
                <w:b/>
              </w:rPr>
              <w:t xml:space="preserve">Total Purchase Order Value (USD):</w:t>
            </w:r>
          </w:p>
        </w:tc>
        <w:tc>
          <w:tcPr/>
          <w:p>
            <w:pPr>
              <w:pStyle w:val="Compact"/>
              <w:jc w:val="left"/>
            </w:pPr>
            <w:r>
              <w:rPr>
                <w:bCs/>
                <w:b/>
              </w:rPr>
              <w:t xml:space="preserve">$630,750.00</w:t>
            </w:r>
          </w:p>
        </w:tc>
      </w:tr>
    </w:tbl>
    <w:p>
      <w:pPr>
        <w:pStyle w:val="BodyText"/>
      </w:pPr>
      <w:r>
        <w:t xml:space="preserve">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ordinances of the City of New York, United States New York City. Any disputes arising under this Purchase Order shall be resolved through binding arbitration in New York, NY, in accordance with the rules of the American Arbitration Association.</w:t>
      </w:r>
    </w:p>
    <w:p>
      <w:pPr>
        <w:numPr>
          <w:ilvl w:val="0"/>
          <w:numId w:val="1001"/>
        </w:numPr>
        <w:pStyle w:val="Compact"/>
      </w:pPr>
      <w:r>
        <w:rPr>
          <w:bCs/>
          <w:b/>
        </w:rPr>
        <w:t xml:space="preserve">Payment Terms:</w:t>
      </w:r>
      <w:r>
        <w:t xml:space="preserve"> </w:t>
      </w:r>
      <w:r>
        <w:t xml:space="preserve">The Buyer shall issue payment within thirty (30) days of receipt of a valid invoice from the Architect. Invoices shall be submitted at the completion of each phase as outlined in the Line Items above. Late payments shall accrue interest at a rate of 1.5% per month, consistent with New York State Commercial Law.</w:t>
      </w:r>
    </w:p>
    <w:p>
      <w:pPr>
        <w:numPr>
          <w:ilvl w:val="0"/>
          <w:numId w:val="1001"/>
        </w:numPr>
        <w:pStyle w:val="Compact"/>
      </w:pPr>
      <w:r>
        <w:rPr>
          <w:bCs/>
          <w:b/>
        </w:rPr>
        <w:t xml:space="preserve">Architect's License &amp; Insurance:</w:t>
      </w:r>
      <w:r>
        <w:t xml:space="preserve"> </w:t>
      </w:r>
      <w:r>
        <w:t xml:space="preserve">The Architect warrants that Margaret L. Harlow holds a valid New York State Professional Engineer and Architect license (No. A-118472) and that the firm maintains a minimum of $5,000,000 in professional liability (errors and omissions) insurance and $2,000,000 in general liability insurance, with Meridian Development Group, LLC named as an additional insured.</w:t>
      </w:r>
    </w:p>
    <w:p>
      <w:pPr>
        <w:numPr>
          <w:ilvl w:val="0"/>
          <w:numId w:val="1001"/>
        </w:numPr>
        <w:pStyle w:val="Compact"/>
      </w:pPr>
      <w:r>
        <w:rPr>
          <w:bCs/>
          <w:b/>
        </w:rPr>
        <w:t xml:space="preserve">Compliance with New York City Regulations:</w:t>
      </w:r>
      <w:r>
        <w:t xml:space="preserve"> </w:t>
      </w:r>
      <w:r>
        <w:t xml:space="preserve">The Architect shall ensure all deliverables comply with the New York City Zoning Resolution, the New York City Building Code, the New York City Fire Code, and all requirements of the New York City Landmarks Preservation Commission where applicable. The Architect is responsible for all permit fees and filing costs associated with the United States New York City project.</w:t>
      </w:r>
    </w:p>
    <w:p>
      <w:pPr>
        <w:numPr>
          <w:ilvl w:val="0"/>
          <w:numId w:val="1001"/>
        </w:numPr>
        <w:pStyle w:val="Compact"/>
      </w:pPr>
      <w:r>
        <w:rPr>
          <w:bCs/>
          <w:b/>
        </w:rPr>
        <w:t xml:space="preserve">Intellectual Property:</w:t>
      </w:r>
      <w:r>
        <w:t xml:space="preserve"> </w:t>
      </w:r>
      <w:r>
        <w:t xml:space="preserve">Upon full payment, all drawings, plans, models, and design documents created by the Architect specifically for this Purchase Order shall become the property of the Buyer. The Architect retains the right to use general design methodologies and pre-existing intellectual property.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Architect for all services rendered and materials procured up to the date of termination, less any applicable liquidated damages.</w:t>
      </w:r>
    </w:p>
    <w:p>
      <w:pPr>
        <w:numPr>
          <w:ilvl w:val="0"/>
          <w:numId w:val="1001"/>
        </w:numPr>
        <w:pStyle w:val="Compact"/>
      </w:pPr>
      <w:r>
        <w:rPr>
          <w:bCs/>
          <w:b/>
        </w:rPr>
        <w:t xml:space="preserve">Confidentiality:</w:t>
      </w:r>
      <w:r>
        <w:t xml:space="preserve"> </w:t>
      </w:r>
      <w:r>
        <w:t xml:space="preserve">The Architect agrees to maintain strict confidentiality regarding all project details, site plans, and proprietary information of the Buyer. This obligation shall survive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delays caused by acts of God, natural disasters, government actions, or events beyond reasonable control, provided that the affected party gives written notice within five (5) business days.</w:t>
      </w:r>
    </w:p>
    <w:p>
      <w:pPr>
        <w:numPr>
          <w:ilvl w:val="0"/>
          <w:numId w:val="1001"/>
        </w:numPr>
        <w:pStyle w:val="Compact"/>
      </w:pPr>
      <w:r>
        <w:rPr>
          <w:bCs/>
          <w:b/>
        </w:rPr>
        <w:t xml:space="preserve">Anti-Discrimination &amp; Compliance:</w:t>
      </w:r>
      <w:r>
        <w:t xml:space="preserve"> </w:t>
      </w:r>
      <w:r>
        <w:t xml:space="preserve">The Architect shall comply with all federal, New York State, and New York City anti-discrimination laws, including the New York City Human Rights Law, in the performance of services under this Purchase Order.</w:t>
      </w:r>
    </w:p>
    <w:p>
      <w:pPr>
        <w:pStyle w:val="FirstParagraph"/>
      </w:pPr>
      <w:r>
        <w:t xml:space="preserve">Acceptance &amp; Authorization</w:t>
      </w:r>
    </w:p>
    <w:p>
      <w:pPr>
        <w:pStyle w:val="BodyText"/>
      </w:pPr>
      <w:r>
        <w:t xml:space="preserve">By signing below, both parties acknowledge and agree to all terms, conditions, and scope of work set forth in this Purchase Order. This Purchase Order constitutes a binding agreement for the architectural services described herein, to be performed in and around the United States New York City.</w:t>
      </w:r>
    </w:p>
    <w:p>
      <w:pPr>
        <w:pStyle w:val="BodyText"/>
      </w:pPr>
      <w:r>
        <w:rPr>
          <w:bCs/>
          <w:b/>
        </w:rPr>
        <w:t xml:space="preserve">For the Buyer:</w:t>
      </w:r>
      <w:r>
        <w:br/>
      </w:r>
      <w:r>
        <w:t xml:space="preserve">Meridian Development Group, LLC</w:t>
      </w:r>
    </w:p>
    <w:p>
      <w:pPr>
        <w:pStyle w:val="BodyText"/>
      </w:pPr>
      <w:r>
        <w:rPr>
          <w:bCs/>
          <w:b/>
        </w:rPr>
        <w:t xml:space="preserve">Daniel R. Whitfield</w:t>
      </w:r>
      <w:r>
        <w:br/>
      </w:r>
      <w:r>
        <w:t xml:space="preserve">Vice President of Procurement</w:t>
      </w:r>
      <w:r>
        <w:br/>
      </w:r>
      <w:r>
        <w:t xml:space="preserve">Date: ______________________</w:t>
      </w:r>
    </w:p>
    <w:p>
      <w:pPr>
        <w:pStyle w:val="BodyText"/>
      </w:pPr>
      <w:r>
        <w:rPr>
          <w:bCs/>
          <w:b/>
        </w:rPr>
        <w:t xml:space="preserve">For the Architect:</w:t>
      </w:r>
      <w:r>
        <w:br/>
      </w:r>
      <w:r>
        <w:t xml:space="preserve">Harlow &amp; Voss Architects, P.C.</w:t>
      </w:r>
    </w:p>
    <w:p>
      <w:pPr>
        <w:pStyle w:val="BodyText"/>
      </w:pPr>
      <w:r>
        <w:rPr>
          <w:bCs/>
          <w:b/>
        </w:rPr>
        <w:t xml:space="preserve">Margaret L. Harlow, AIA</w:t>
      </w:r>
      <w:r>
        <w:br/>
      </w:r>
      <w:r>
        <w:t xml:space="preserve">Principal Architect, NY License A-118472</w:t>
      </w:r>
      <w:r>
        <w:br/>
      </w:r>
      <w:r>
        <w:t xml:space="preserve">Date: ______________________</w:t>
      </w:r>
    </w:p>
    <w:p>
      <w:pPr>
        <w:pStyle w:val="BodyText"/>
      </w:pPr>
      <w:r>
        <w:t xml:space="preserve">Purchase Order No. PO-NYC-2025-04872 | Meridian Development Group, LLC | 1285 Avenue of the Americas, New York, NY 10020, United States New York City</w:t>
      </w:r>
    </w:p>
    <w:p>
      <w:pPr>
        <w:pStyle w:val="BodyText"/>
      </w:pPr>
      <w:r>
        <w:t xml:space="preserve">This document is issued under the jurisdiction of the State of New York and the City of New York. All services referenced herein are to be performed within the five boroughs of New York City, United States.</w:t>
      </w:r>
    </w:p>
    <w:p>
      <w:pPr>
        <w:pStyle w:val="BodyText"/>
      </w:pPr>
      <w:r>
        <w:t xml:space="preserve">© 2025 Meridian Development Group, LLC. All rights reserved. Document generated electronically. No physical signature required unless otherwise specified by New York State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United States New York City</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