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purchase-order"/>
    <w:p>
      <w:pPr>
        <w:pStyle w:val="Heading1"/>
      </w:pPr>
      <w:r>
        <w:t xml:space="preserve">PURCHASE ORDER</w:t>
      </w:r>
    </w:p>
    <w:p>
      <w:pPr>
        <w:pStyle w:val="FirstParagraph"/>
      </w:pPr>
      <w:r>
        <w:t xml:space="preserve">Architectural Design and Professional Services</w:t>
      </w:r>
    </w:p>
    <w:p>
      <w:pPr>
        <w:pStyle w:val="BodyText"/>
      </w:pPr>
      <w:r>
        <w:t xml:space="preserve">United States San Francisco, California</w:t>
      </w:r>
    </w:p>
    <w:bookmarkStart w:id="20" w:name="purchasing-entity"/>
    <w:p>
      <w:pPr>
        <w:pStyle w:val="Heading3"/>
      </w:pPr>
      <w:r>
        <w:t xml:space="preserve">Purchasing Entity</w:t>
      </w:r>
    </w:p>
    <w:p>
      <w:pPr>
        <w:pStyle w:val="FirstParagraph"/>
      </w:pPr>
      <w:r>
        <w:rPr>
          <w:bCs/>
          <w:b/>
        </w:rPr>
        <w:t xml:space="preserve">Golden Gate Development Partners, LLC</w:t>
      </w:r>
    </w:p>
    <w:p>
      <w:pPr>
        <w:pStyle w:val="BodyText"/>
      </w:pPr>
      <w:r>
        <w:t xml:space="preserve">1200 Market Street, Suite 4500</w:t>
      </w:r>
    </w:p>
    <w:p>
      <w:pPr>
        <w:pStyle w:val="BodyText"/>
      </w:pPr>
      <w:r>
        <w:t xml:space="preserve">San Francisco, California 94102</w:t>
      </w:r>
    </w:p>
    <w:p>
      <w:pPr>
        <w:pStyle w:val="BodyText"/>
      </w:pPr>
      <w:r>
        <w:t xml:space="preserve">United States</w:t>
      </w:r>
    </w:p>
    <w:p>
      <w:pPr>
        <w:pStyle w:val="BodyText"/>
      </w:pPr>
      <w:r>
        <w:t xml:space="preserve">Tax ID (EIN): 94-2847561</w:t>
      </w:r>
    </w:p>
    <w:p>
      <w:pPr>
        <w:pStyle w:val="BodyText"/>
      </w:pPr>
      <w:r>
        <w:t xml:space="preserve">Phone: (415) 555-0182</w:t>
      </w:r>
    </w:p>
    <w:p>
      <w:pPr>
        <w:pStyle w:val="BodyText"/>
      </w:pPr>
      <w:r>
        <w:t xml:space="preserve">Email: procurement@ggdpartners.com</w:t>
      </w:r>
    </w:p>
    <w:bookmarkEnd w:id="20"/>
    <w:bookmarkStart w:id="21" w:name="vendor-architect"/>
    <w:p>
      <w:pPr>
        <w:pStyle w:val="Heading3"/>
      </w:pPr>
      <w:r>
        <w:t xml:space="preserve">Vendor / Architect</w:t>
      </w:r>
    </w:p>
    <w:p>
      <w:pPr>
        <w:pStyle w:val="FirstParagraph"/>
      </w:pPr>
      <w:r>
        <w:rPr>
          <w:bCs/>
          <w:b/>
        </w:rPr>
        <w:t xml:space="preserve">Meridian Architectural Studio, Inc.</w:t>
      </w:r>
    </w:p>
    <w:p>
      <w:pPr>
        <w:pStyle w:val="BodyText"/>
      </w:pPr>
      <w:r>
        <w:t xml:space="preserve">880 Howard Street, Floor 12</w:t>
      </w:r>
    </w:p>
    <w:p>
      <w:pPr>
        <w:pStyle w:val="BodyText"/>
      </w:pPr>
      <w:r>
        <w:t xml:space="preserve">San Francisco, California 94103</w:t>
      </w:r>
    </w:p>
    <w:p>
      <w:pPr>
        <w:pStyle w:val="BodyText"/>
      </w:pPr>
      <w:r>
        <w:t xml:space="preserve">United States</w:t>
      </w:r>
    </w:p>
    <w:p>
      <w:pPr>
        <w:pStyle w:val="BodyText"/>
      </w:pPr>
      <w:r>
        <w:t xml:space="preserve">CA License No.: A-184729</w:t>
      </w:r>
    </w:p>
    <w:p>
      <w:pPr>
        <w:pStyle w:val="BodyText"/>
      </w:pPr>
      <w:r>
        <w:t xml:space="preserve">Phone: (415) 555-0347</w:t>
      </w:r>
    </w:p>
    <w:p>
      <w:pPr>
        <w:pStyle w:val="BodyText"/>
      </w:pPr>
      <w:r>
        <w:t xml:space="preserve">Email: contracts@meridianarch.com</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No.</w:t>
            </w:r>
          </w:p>
        </w:tc>
        <w:tc>
          <w:tcPr/>
          <w:p>
            <w:pPr>
              <w:pStyle w:val="Compact"/>
              <w:jc w:val="left"/>
            </w:pPr>
            <w:r>
              <w:t xml:space="preserve">PO Date</w:t>
            </w:r>
          </w:p>
        </w:tc>
        <w:tc>
          <w:tcPr/>
          <w:p>
            <w:pPr>
              <w:pStyle w:val="Compact"/>
              <w:jc w:val="left"/>
            </w:pPr>
            <w:r>
              <w:t xml:space="preserve">Required Completion</w:t>
            </w:r>
          </w:p>
        </w:tc>
        <w:tc>
          <w:tcPr/>
          <w:p>
            <w:pPr>
              <w:pStyle w:val="Compact"/>
              <w:jc w:val="left"/>
            </w:pPr>
            <w:r>
              <w:t xml:space="preserve">Project Location</w:t>
            </w:r>
          </w:p>
        </w:tc>
      </w:tr>
      <w:tr>
        <w:tc>
          <w:tcPr/>
          <w:p>
            <w:pPr>
              <w:pStyle w:val="Compact"/>
              <w:jc w:val="left"/>
            </w:pPr>
            <w:r>
              <w:t xml:space="preserve">PO-2025-SF-004872</w:t>
            </w:r>
          </w:p>
        </w:tc>
        <w:tc>
          <w:tcPr/>
          <w:p>
            <w:pPr>
              <w:pStyle w:val="Compact"/>
              <w:jc w:val="left"/>
            </w:pPr>
            <w:r>
              <w:t xml:space="preserve">June 12, 2025</w:t>
            </w:r>
          </w:p>
        </w:tc>
        <w:tc>
          <w:tcPr/>
          <w:p>
            <w:pPr>
              <w:pStyle w:val="Compact"/>
              <w:jc w:val="left"/>
            </w:pPr>
            <w:r>
              <w:t xml:space="preserve">December 15, 2025</w:t>
            </w:r>
          </w:p>
        </w:tc>
        <w:tc>
          <w:tcPr/>
          <w:p>
            <w:pPr>
              <w:pStyle w:val="Compact"/>
              <w:jc w:val="left"/>
            </w:pPr>
            <w:r>
              <w:t xml:space="preserve">2450 Mission Street, San Francisco, CA 94110, United States</w:t>
            </w:r>
          </w:p>
        </w:tc>
      </w:tr>
    </w:tbl>
    <w:bookmarkStart w:id="22" w:name="description-of-services"/>
    <w:p>
      <w:pPr>
        <w:pStyle w:val="Heading2"/>
      </w:pPr>
      <w:r>
        <w:t xml:space="preserve">1. Description of Services</w:t>
      </w:r>
    </w:p>
    <w:p>
      <w:pPr>
        <w:pStyle w:val="FirstParagraph"/>
      </w:pPr>
      <w:r>
        <w:t xml:space="preserve">This Purchase Order is issued by Golden Gate Development Partners, LLC (hereinafter referred to as the "Purchaser") to Meridian Architectural Studio, Inc. (hereinafter referred to as the "Architect") for the provision of comprehensive architectural design, engineering coordination, and project management services for the construction of a mixed-use commercial and residential building located at 2450 Mission Street, San Francisco, California, United States. The Architect shall deliver all services in strict compliance with the San Francisco Building Code, the California Building Standards Code (Title 24), and all applicable federal, state, and municipal regulations governing architectural practice in the United States San Francisco metropolitan area.</w:t>
      </w:r>
    </w:p>
    <w:bookmarkEnd w:id="22"/>
    <w:bookmarkStart w:id="23"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Deliverable Date</w:t>
            </w:r>
          </w:p>
        </w:tc>
      </w:tr>
      <w:tr>
        <w:tc>
          <w:tcPr/>
          <w:p>
            <w:pPr>
              <w:pStyle w:val="Compact"/>
              <w:jc w:val="left"/>
            </w:pPr>
            <w:r>
              <w:t xml:space="preserve">1</w:t>
            </w:r>
          </w:p>
        </w:tc>
        <w:tc>
          <w:tcPr/>
          <w:p>
            <w:pPr>
              <w:pStyle w:val="Compact"/>
              <w:jc w:val="left"/>
            </w:pPr>
            <w:r>
              <w:t xml:space="preserve">Pre-Design Feasibility Study and Site Analysis for the San Francisco, United States project site, including topographic survey review, zoning verification with the San Francisco Planning Department, and environmental impact assessment per CEQA requirements.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Schematic Design Phase: Development of conceptual architectural drawings, massing studies, and preliminary floor plans for a 12-story mixed-use structure. The Architect shall present three (3) design alternatives to the Purchaser for approval.</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August 30, 2025</w:t>
            </w:r>
          </w:p>
        </w:tc>
      </w:tr>
      <w:tr>
        <w:tc>
          <w:tcPr/>
          <w:p>
            <w:pPr>
              <w:pStyle w:val="Compact"/>
              <w:jc w:val="left"/>
            </w:pPr>
            <w:r>
              <w:t xml:space="preserve">3</w:t>
            </w:r>
          </w:p>
        </w:tc>
        <w:tc>
          <w:tcPr/>
          <w:p>
            <w:pPr>
              <w:pStyle w:val="Compact"/>
              <w:jc w:val="left"/>
            </w:pPr>
            <w:r>
              <w:t xml:space="preserve">Design Development Phase: Refinement of approved schematic design, selection of building materials, structural system coordination, MEP (Mechanical, Electrical, Plumbing) integration, and preparation of detailed architectural drawings for the United States San Francisco jurisdiction.</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c>
          <w:tcPr/>
          <w:p>
            <w:pPr>
              <w:pStyle w:val="Compact"/>
              <w:jc w:val="left"/>
            </w:pPr>
            <w:r>
              <w:t xml:space="preserve">October 10, 2025</w:t>
            </w:r>
          </w:p>
        </w:tc>
      </w:tr>
      <w:tr>
        <w:tc>
          <w:tcPr/>
          <w:p>
            <w:pPr>
              <w:pStyle w:val="Compact"/>
              <w:jc w:val="left"/>
            </w:pPr>
            <w:r>
              <w:t xml:space="preserve">4</w:t>
            </w:r>
          </w:p>
        </w:tc>
        <w:tc>
          <w:tcPr/>
          <w:p>
            <w:pPr>
              <w:pStyle w:val="Compact"/>
              <w:jc w:val="left"/>
            </w:pPr>
            <w:r>
              <w:t xml:space="preserve">Construction Documents: Full set of construction-ready architectural drawings, specifications, and detail sheets compliant with the San Francisco Building Code and International Building Code (IBC) as adopted by the City and County of San Francisco.</w:t>
            </w:r>
          </w:p>
        </w:tc>
        <w:tc>
          <w:tcPr/>
          <w:p>
            <w:pPr>
              <w:pStyle w:val="Compact"/>
              <w:jc w:val="left"/>
            </w:pPr>
            <w:r>
              <w:t xml:space="preserve">1</w:t>
            </w:r>
          </w:p>
        </w:tc>
        <w:tc>
          <w:tcPr/>
          <w:p>
            <w:pPr>
              <w:pStyle w:val="Compact"/>
              <w:jc w:val="left"/>
            </w:pPr>
            <w:r>
              <w:t xml:space="preserve">$74,500.00</w:t>
            </w:r>
          </w:p>
        </w:tc>
        <w:tc>
          <w:tcPr/>
          <w:p>
            <w:pPr>
              <w:pStyle w:val="Compact"/>
              <w:jc w:val="left"/>
            </w:pPr>
            <w:r>
              <w:t xml:space="preserve">$74,500.00</w:t>
            </w:r>
          </w:p>
        </w:tc>
        <w:tc>
          <w:tcPr/>
          <w:p>
            <w:pPr>
              <w:pStyle w:val="Compact"/>
              <w:jc w:val="left"/>
            </w:pPr>
            <w:r>
              <w:t xml:space="preserve">November 20, 2025</w:t>
            </w:r>
          </w:p>
        </w:tc>
      </w:tr>
      <w:tr>
        <w:tc>
          <w:tcPr/>
          <w:p>
            <w:pPr>
              <w:pStyle w:val="Compact"/>
              <w:jc w:val="left"/>
            </w:pPr>
            <w:r>
              <w:t xml:space="preserve">5</w:t>
            </w:r>
          </w:p>
        </w:tc>
        <w:tc>
          <w:tcPr/>
          <w:p>
            <w:pPr>
              <w:pStyle w:val="Compact"/>
              <w:jc w:val="left"/>
            </w:pPr>
            <w:r>
              <w:t xml:space="preserve">Permitting and Regulatory Compliance: Preparation and submission of all required building permit applications to the San Francisco Department of Building Inspection (BIS), coordination with the San Francisco Planning Commission, and response to all plan check comments until permit issuance.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December 15, 2025</w:t>
            </w:r>
          </w:p>
        </w:tc>
      </w:tr>
      <w:tr>
        <w:tc>
          <w:tcPr/>
          <w:p>
            <w:pPr>
              <w:pStyle w:val="Compact"/>
              <w:jc w:val="left"/>
            </w:pPr>
            <w:r>
              <w:t xml:space="preserve">6</w:t>
            </w:r>
          </w:p>
        </w:tc>
        <w:tc>
          <w:tcPr/>
          <w:p>
            <w:pPr>
              <w:pStyle w:val="Compact"/>
              <w:jc w:val="left"/>
            </w:pPr>
            <w:r>
              <w:t xml:space="preserve">Construction Administration: On-site observation visits (minimum 8 visits), review of contractor submittals, response to Requests for Information (RFIs), and coordination meetings with the general contractor throughout the construction phase in San Francisco, United States.</w:t>
            </w:r>
          </w:p>
        </w:tc>
        <w:tc>
          <w:tcPr/>
          <w:p>
            <w:pPr>
              <w:pStyle w:val="Compact"/>
              <w:jc w:val="left"/>
            </w:pPr>
            <w:r>
              <w:t xml:space="preserve">8</w:t>
            </w:r>
          </w:p>
        </w:tc>
        <w:tc>
          <w:tcPr/>
          <w:p>
            <w:pPr>
              <w:pStyle w:val="Compact"/>
              <w:jc w:val="left"/>
            </w:pPr>
            <w:r>
              <w:t xml:space="preserve">$3,250.00</w:t>
            </w:r>
          </w:p>
        </w:tc>
        <w:tc>
          <w:tcPr/>
          <w:p>
            <w:pPr>
              <w:pStyle w:val="Compact"/>
              <w:jc w:val="left"/>
            </w:pPr>
            <w:r>
              <w:t xml:space="preserve">$26,000.00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LEED Gold Certification Consulting: The Architect shall provide sustainability consulting to achieve LEED Gold certification, including energy modeling, material sourcing documentation, and coordination with the U.S. Green Building Council requirements.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December 15, 2025</w:t>
            </w:r>
          </w:p>
        </w:tc>
      </w:tr>
      <w:tr>
        <w:tc>
          <w:tcPr/>
          <w:p>
            <w:pPr>
              <w:pStyle w:val="Compact"/>
              <w:jc w:val="left"/>
            </w:pPr>
            <w:r>
              <w:t xml:space="preserve">8</w:t>
            </w:r>
          </w:p>
        </w:tc>
        <w:tc>
          <w:tcPr/>
          <w:p>
            <w:pPr>
              <w:pStyle w:val="Compact"/>
              <w:jc w:val="left"/>
            </w:pPr>
            <w:r>
              <w:t xml:space="preserve">Seismic Design and Structural Coordination: Specialized seismic analysis and design coordination in compliance with the San Francisco Seismic Safety Ordinance and California Seismic Safety Commission (CSSC) requirements for structures in the United States San Francisco seismic zone.</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c>
          <w:tcPr/>
          <w:p>
            <w:pPr>
              <w:pStyle w:val="Compact"/>
              <w:jc w:val="left"/>
            </w:pPr>
            <w:r>
              <w:t xml:space="preserve">November 20, 2025</w:t>
            </w:r>
          </w:p>
        </w:tc>
      </w:tr>
    </w:tbl>
    <w:bookmarkEnd w:id="23"/>
    <w:bookmarkStart w:id="24" w:name="payment-terms"/>
    <w:p>
      <w:pPr>
        <w:pStyle w:val="Heading2"/>
      </w:pPr>
      <w:r>
        <w:t xml:space="preserve">3. Payment Terms</w:t>
      </w:r>
    </w:p>
    <w:p>
      <w:pPr>
        <w:pStyle w:val="FirstParagraph"/>
      </w:pPr>
      <w:r>
        <w:t xml:space="preserve">Payment for services rendered under this Purchase Order shall be made in accordance with the following schedule. The Architect shall submit itemized invoices to the Purchaser's accounts payable department upon completion of each milestone. Payment terms are Net 30 days from the date of invoice receipt. All payments shall be made via wire transfer to the bank account designated by the Architect. Late payments shall accrue interest at a rate of 1.5% per month, in accordance with California Commercial Code Section 2304, applicable in the United States San Francisco jurisdiction.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Upon execution of this Purchase Order</w:t>
            </w:r>
          </w:p>
        </w:tc>
        <w:tc>
          <w:tcPr/>
          <w:p>
            <w:pPr>
              <w:pStyle w:val="Compact"/>
              <w:jc w:val="left"/>
            </w:pPr>
            <w:r>
              <w:t xml:space="preserve">10%</w:t>
            </w:r>
          </w:p>
        </w:tc>
        <w:tc>
          <w:tcPr/>
          <w:p>
            <w:pPr>
              <w:pStyle w:val="Compact"/>
              <w:jc w:val="left"/>
            </w:pPr>
            <w:r>
              <w:t xml:space="preserve">$16,700.00</w:t>
            </w:r>
          </w:p>
        </w:tc>
      </w:tr>
      <w:tr>
        <w:tc>
          <w:tcPr/>
          <w:p>
            <w:pPr>
              <w:pStyle w:val="Compact"/>
              <w:jc w:val="left"/>
            </w:pPr>
            <w:r>
              <w:t xml:space="preserve">Upon approval of Schematic Design</w:t>
            </w:r>
          </w:p>
        </w:tc>
        <w:tc>
          <w:tcPr/>
          <w:p>
            <w:pPr>
              <w:pStyle w:val="Compact"/>
              <w:jc w:val="left"/>
            </w:pPr>
            <w:r>
              <w:t xml:space="preserve">20%</w:t>
            </w:r>
          </w:p>
        </w:tc>
        <w:tc>
          <w:tcPr/>
          <w:p>
            <w:pPr>
              <w:pStyle w:val="Compact"/>
              <w:jc w:val="left"/>
            </w:pPr>
            <w:r>
              <w:t xml:space="preserve">$33,400.00</w:t>
            </w:r>
          </w:p>
        </w:tc>
      </w:tr>
      <w:tr>
        <w:tc>
          <w:tcPr/>
          <w:p>
            <w:pPr>
              <w:pStyle w:val="Compact"/>
              <w:jc w:val="left"/>
            </w:pPr>
            <w:r>
              <w:t xml:space="preserve">Upon approval of Design Development</w:t>
            </w:r>
          </w:p>
        </w:tc>
        <w:tc>
          <w:tcPr/>
          <w:p>
            <w:pPr>
              <w:pStyle w:val="Compact"/>
              <w:jc w:val="left"/>
            </w:pPr>
            <w:r>
              <w:t xml:space="preserve">25%</w:t>
            </w:r>
          </w:p>
        </w:tc>
        <w:tc>
          <w:tcPr/>
          <w:p>
            <w:pPr>
              <w:pStyle w:val="Compact"/>
              <w:jc w:val="left"/>
            </w:pPr>
            <w:r>
              <w:t xml:space="preserve">$41,750.00</w:t>
            </w:r>
          </w:p>
        </w:tc>
      </w:tr>
      <w:tr>
        <w:tc>
          <w:tcPr/>
          <w:p>
            <w:pPr>
              <w:pStyle w:val="Compact"/>
              <w:jc w:val="left"/>
            </w:pPr>
            <w:r>
              <w:t xml:space="preserve">Upon delivery of Construction Documents</w:t>
            </w:r>
          </w:p>
        </w:tc>
        <w:tc>
          <w:tcPr/>
          <w:p>
            <w:pPr>
              <w:pStyle w:val="Compact"/>
              <w:jc w:val="left"/>
            </w:pPr>
            <w:r>
              <w:t xml:space="preserve">25%</w:t>
            </w:r>
          </w:p>
        </w:tc>
        <w:tc>
          <w:tcPr/>
          <w:p>
            <w:pPr>
              <w:pStyle w:val="Compact"/>
              <w:jc w:val="left"/>
            </w:pPr>
            <w:r>
              <w:t xml:space="preserve">$41,750.00</w:t>
            </w:r>
          </w:p>
        </w:tc>
      </w:tr>
      <w:tr>
        <w:tc>
          <w:tcPr/>
          <w:p>
            <w:pPr>
              <w:pStyle w:val="Compact"/>
              <w:jc w:val="left"/>
            </w:pPr>
            <w:r>
              <w:t xml:space="preserve">Upon Permit Issuance</w:t>
            </w:r>
          </w:p>
        </w:tc>
        <w:tc>
          <w:tcPr/>
          <w:p>
            <w:pPr>
              <w:pStyle w:val="Compact"/>
              <w:jc w:val="left"/>
            </w:pPr>
            <w:r>
              <w:t xml:space="preserve">10%</w:t>
            </w:r>
          </w:p>
        </w:tc>
        <w:tc>
          <w:tcPr/>
          <w:p>
            <w:pPr>
              <w:pStyle w:val="Compact"/>
              <w:jc w:val="left"/>
            </w:pPr>
            <w:r>
              <w:t xml:space="preserve">$16,700.00</w:t>
            </w:r>
          </w:p>
        </w:tc>
      </w:tr>
      <w:tr>
        <w:tc>
          <w:tcPr/>
          <w:p>
            <w:pPr>
              <w:pStyle w:val="Compact"/>
              <w:jc w:val="left"/>
            </w:pPr>
            <w:r>
              <w:t xml:space="preserve">Upon Substantial Completion of Construction Administration</w:t>
            </w:r>
          </w:p>
        </w:tc>
        <w:tc>
          <w:tcPr/>
          <w:p>
            <w:pPr>
              <w:pStyle w:val="Compact"/>
              <w:jc w:val="left"/>
            </w:pPr>
            <w:r>
              <w:t xml:space="preserve">10%</w:t>
            </w:r>
          </w:p>
        </w:tc>
        <w:tc>
          <w:tcPr/>
          <w:p>
            <w:pPr>
              <w:pStyle w:val="Compact"/>
              <w:jc w:val="left"/>
            </w:pPr>
            <w:r>
              <w:t xml:space="preserve">$16,700.00</w:t>
            </w:r>
          </w:p>
        </w:tc>
      </w:tr>
      <w:tr>
        <w:tc>
          <w:tcPr>
            <w:gridSpan w:val="2"/>
          </w:tcPr>
          <w:p>
            <w:pPr>
              <w:pStyle w:val="Compact"/>
              <w:jc w:val="left"/>
            </w:pPr>
            <w:r>
              <w:t xml:space="preserve">TOTAL CONTRACT VALUE</w:t>
            </w:r>
          </w:p>
        </w:tc>
        <w:tc>
          <w:tcPr/>
          <w:p>
            <w:pPr>
              <w:pStyle w:val="Compact"/>
              <w:jc w:val="left"/>
            </w:pPr>
            <w:r>
              <w:t xml:space="preserve">$167,000.00</w:t>
            </w:r>
          </w:p>
        </w:tc>
      </w:tr>
    </w:tbl>
    <w:bookmarkEnd w:id="24"/>
    <w:bookmarkStart w:id="25" w:name="terms-and-conditions"/>
    <w:p>
      <w:pPr>
        <w:pStyle w:val="Heading2"/>
      </w:pPr>
      <w:r>
        <w:t xml:space="preserve">4. Terms and Conditions</w:t>
      </w:r>
    </w:p>
    <w:p>
      <w:pPr>
        <w:pStyle w:val="FirstParagraph"/>
      </w:pPr>
      <w:r>
        <w:t xml:space="preserve">4.1 This Purchase Order is governed by and shall be construed in accordance with the laws of the State of California, United States, and the municipal ordinances of the City and County of San Francisco. Any disputes arising from this Purchase Order shall be resolved through binding arbitration in San Francisco, California, in accordance with the rules of the American Arbitration Association.</w:t>
      </w:r>
    </w:p>
    <w:p>
      <w:pPr>
        <w:pStyle w:val="BodyText"/>
      </w:pPr>
      <w:r>
        <w:t xml:space="preserve">4.2 The Architect warrants that all services shall be performed in a professional and workmanlike manner consistent with the prevailing standards of the architectural profession in the United States San Francisco area. The Architect shall maintain professional liability insurance with a minimum coverage of $2,000,000 per occurrence and $5,000,000 aggregate throughout the duration of this Purchase Order.</w:t>
      </w:r>
    </w:p>
    <w:p>
      <w:pPr>
        <w:pStyle w:val="BodyText"/>
      </w:pPr>
      <w:r>
        <w:t xml:space="preserve">4.3 The Architect shall comply with all applicable anti-discrimination laws, including the California Fair Employment and Housing Act, and shall ensure that all subconsultants engaged under this Purchase Order adhere to the same standards.</w:t>
      </w:r>
    </w:p>
    <w:p>
      <w:pPr>
        <w:pStyle w:val="BodyText"/>
      </w:pPr>
      <w:r>
        <w:t xml:space="preserve">4.4 All intellectual property, including but not limited to architectural drawings, design concepts, and specifications produced under this Purchase Order, shall become the sole property of the Purchaser upon full payment. The Architect retains the right to use the project for portfolio and marketing purposes with prior written consent from the Purchaser.</w:t>
      </w:r>
    </w:p>
    <w:p>
      <w:pPr>
        <w:pStyle w:val="BodyText"/>
      </w:pPr>
      <w:r>
        <w:t xml:space="preserve">4.5 The Architect shall not assign or subcontract any portion of the services described in this Purchase Order without the prior written consent of the Purchaser. Any approved subcontractors shall be subject to the same terms and conditions as set forth herein.</w:t>
      </w:r>
    </w:p>
    <w:p>
      <w:pPr>
        <w:pStyle w:val="BodyText"/>
      </w:pPr>
      <w:r>
        <w:t xml:space="preserve">4.6 Force Majeure: Neither party shall be liable for delays caused by events beyond reasonable control, including but not limited to earthquakes, wildfires, or government-mandated shutdowns, which are of particular relevance to projects located in the United States San Francisco region.</w:t>
      </w:r>
    </w:p>
    <w:bookmarkEnd w:id="25"/>
    <w:bookmarkStart w:id="26" w:name="X4b9535986de9b7f837d18e9d78433d50d714a88"/>
    <w:p>
      <w:pPr>
        <w:pStyle w:val="Heading2"/>
      </w:pPr>
      <w:r>
        <w:t xml:space="preserve">5. San Francisco-Specific Compliance Requirements</w:t>
      </w:r>
    </w:p>
    <w:p>
      <w:pPr>
        <w:pStyle w:val="FirstParagraph"/>
      </w:pPr>
      <w:r>
        <w:rPr>
          <w:bCs/>
          <w:b/>
        </w:rPr>
        <w:t xml:space="preserve">IMPORTANT:</w:t>
      </w:r>
      <w:r>
        <w:t xml:space="preserve"> </w:t>
      </w:r>
      <w:r>
        <w:t xml:space="preserve">The Architect acknowledges that all design and construction documents must comply with the San Francisco Building Code (SFC), the San Francisco Planning Code, the San Francisco Seismic Safety Ordinance, the San Francisco Green Building Ordinance, and all requirements of the San Francisco Department of Building Inspection. The Architect shall coordinate with the San Francisco Planning Department regarding any required Environmental Impact Reports (EIR) or Negative Declarations under the California Environmental Quality Act (CEQA). All architectural plans must be stamped and sealed by a California-licensed Architect (License No. A-184729) in good standing with the California Architects Board.</w:t>
      </w:r>
    </w:p>
    <w:bookmarkEnd w:id="26"/>
    <w:bookmarkStart w:id="27" w:name="acceptance-and-authorization"/>
    <w:p>
      <w:pPr>
        <w:pStyle w:val="Heading2"/>
      </w:pPr>
      <w:r>
        <w:t xml:space="preserve">6. Acceptance and Authorization</w:t>
      </w:r>
    </w:p>
    <w:p>
      <w:pPr>
        <w:pStyle w:val="FirstParagraph"/>
      </w:pPr>
      <w:r>
        <w:t xml:space="preserve">This Purchase Order becomes effective upon signature by both parties. The Architect's acceptance of this Purchase Order constitutes agreement to all terms, conditions, and specifications outlined herein. This document, together with any attached exhibits, constitutes the entire agreement between the Purchaser and the Architect regarding the architectural services for the project located in San Francisco, United States.</w:t>
      </w:r>
    </w:p>
    <w:p>
      <w:pPr>
        <w:pStyle w:val="BodyText"/>
      </w:pPr>
      <w:r>
        <w:rPr>
          <w:bCs/>
          <w:b/>
        </w:rPr>
        <w:t xml:space="preserve">For: Golden Gate Development Partners, LLC (Purchaser)</w:t>
      </w:r>
    </w:p>
    <w:p>
      <w:pPr>
        <w:pStyle w:val="BodyText"/>
      </w:pPr>
      <w:r>
        <w:t xml:space="preserve">Signature: ___________________________</w:t>
      </w:r>
    </w:p>
    <w:p>
      <w:pPr>
        <w:pStyle w:val="BodyText"/>
      </w:pPr>
      <w:r>
        <w:t xml:space="preserve">Name: Margaret Chen</w:t>
      </w:r>
    </w:p>
    <w:p>
      <w:pPr>
        <w:pStyle w:val="BodyText"/>
      </w:pPr>
      <w:r>
        <w:t xml:space="preserve">Title: Director of Procurement</w:t>
      </w:r>
    </w:p>
    <w:p>
      <w:pPr>
        <w:pStyle w:val="BodyText"/>
      </w:pPr>
      <w:r>
        <w:t xml:space="preserve">Date: ___________________________</w:t>
      </w:r>
    </w:p>
    <w:p>
      <w:pPr>
        <w:pStyle w:val="BodyText"/>
      </w:pPr>
      <w:r>
        <w:rPr>
          <w:bCs/>
          <w:b/>
        </w:rPr>
        <w:t xml:space="preserve">For: Meridian Architectural Studio, Inc. (Architect)</w:t>
      </w:r>
    </w:p>
    <w:p>
      <w:pPr>
        <w:pStyle w:val="BodyText"/>
      </w:pPr>
      <w:r>
        <w:t xml:space="preserve">Signature: ___________________________</w:t>
      </w:r>
    </w:p>
    <w:p>
      <w:pPr>
        <w:pStyle w:val="BodyText"/>
      </w:pPr>
      <w:r>
        <w:t xml:space="preserve">Name: David R. Okafor, AIA</w:t>
      </w:r>
    </w:p>
    <w:p>
      <w:pPr>
        <w:pStyle w:val="BodyText"/>
      </w:pPr>
      <w:r>
        <w:t xml:space="preserve">Title: Principal Architect, CA License A-184729</w:t>
      </w:r>
    </w:p>
    <w:p>
      <w:pPr>
        <w:pStyle w:val="BodyText"/>
      </w:pPr>
      <w:r>
        <w:t xml:space="preserve">Date: ___________________________</w:t>
      </w:r>
    </w:p>
    <w:p>
      <w:pPr>
        <w:pStyle w:val="BodyText"/>
      </w:pPr>
      <w:r>
        <w:t xml:space="preserve">This Purchase Order (PO-2025-SF-004872) is a legally binding document issued in the City and County of San Francisco, State of California, United States of America. It authorizes the Architect to commence professional architectural services as described herein. Unauthorized reproduction or distribution of this Purchase Order is prohibited. For questions regarding this Purchase Order, contact the Purchaser's procurement office at (415) 555-0182 or procurement@ggdpartners.com. This document is valid for a period of ninety (90) days from the date of issuance. All communications regarding this Purchase Order shall be directed to the addresses listed above in San Francisco,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San Francisco, United States</dc:title>
  <dc:creator/>
  <dc:language>en</dc:language>
  <cp:keywords/>
  <dcterms:created xsi:type="dcterms:W3CDTF">2026-10-10T03:13:38Z</dcterms:created>
  <dcterms:modified xsi:type="dcterms:W3CDTF">2026-10-10T03:13:38Z</dcterms:modified>
</cp:coreProperties>
</file>

<file path=docProps/custom.xml><?xml version="1.0" encoding="utf-8"?>
<Properties xmlns="http://schemas.openxmlformats.org/officeDocument/2006/custom-properties" xmlns:vt="http://schemas.openxmlformats.org/officeDocument/2006/docPropsVTypes"/>
</file>