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Architectural Design and Consultation Services</w:t>
      </w:r>
    </w:p>
    <w:p>
      <w:pPr>
        <w:pStyle w:val="BodyText"/>
      </w:pPr>
      <w:r>
        <w:t xml:space="preserve">Republic of Uzbekistan — City of Tashkent</w:t>
      </w:r>
    </w:p>
    <w:bookmarkEnd w:id="20"/>
    <w:p>
      <w:pPr>
        <w:pStyle w:val="BodyText"/>
      </w:pPr>
      <w:r>
        <w:t xml:space="preserve">PO No.: UZ-TSK-2025-0047</w:t>
      </w:r>
      <w:r>
        <w:br/>
      </w:r>
      <w:r>
        <w:t xml:space="preserve">Date of Issue: 15 June 2025</w:t>
      </w:r>
      <w:r>
        <w:br/>
      </w:r>
      <w:r>
        <w:t xml:space="preserve">Valid Until: 15 July 2025</w:t>
      </w:r>
    </w:p>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Tashkent Urban Development LLC</w:t>
      </w:r>
    </w:p>
    <w:p>
      <w:pPr>
        <w:pStyle w:val="BodyText"/>
      </w:pPr>
      <w:r>
        <w:rPr>
          <w:bCs/>
          <w:b/>
        </w:rPr>
        <w:t xml:space="preserve">Address:</w:t>
      </w:r>
      <w:r>
        <w:t xml:space="preserve"> </w:t>
      </w:r>
      <w:r>
        <w:t xml:space="preserve">42 Amir Temur Avenue, Tashkent 100000, Uzbekistan</w:t>
      </w:r>
    </w:p>
    <w:p>
      <w:pPr>
        <w:pStyle w:val="BodyText"/>
      </w:pPr>
      <w:r>
        <w:rPr>
          <w:bCs/>
          <w:b/>
        </w:rPr>
        <w:t xml:space="preserve">Registration No.:</w:t>
      </w:r>
      <w:r>
        <w:t xml:space="preserve"> </w:t>
      </w:r>
      <w:r>
        <w:t xml:space="preserve">1000000000000000000</w:t>
      </w:r>
    </w:p>
    <w:p>
      <w:pPr>
        <w:pStyle w:val="BodyText"/>
      </w:pPr>
      <w:r>
        <w:rPr>
          <w:bCs/>
          <w:b/>
        </w:rPr>
        <w:t xml:space="preserve">Tax ID (INN):</w:t>
      </w:r>
      <w:r>
        <w:t xml:space="preserve"> </w:t>
      </w:r>
      <w:r>
        <w:t xml:space="preserve">2000000000</w:t>
      </w:r>
    </w:p>
    <w:p>
      <w:pPr>
        <w:pStyle w:val="BodyText"/>
      </w:pPr>
      <w:r>
        <w:rPr>
          <w:bCs/>
          <w:b/>
        </w:rPr>
        <w:t xml:space="preserve">Contact Person:</w:t>
      </w:r>
      <w:r>
        <w:t xml:space="preserve"> </w:t>
      </w:r>
      <w:r>
        <w:t xml:space="preserve">Mr. Jasur Karimov, Project Director</w:t>
      </w:r>
    </w:p>
    <w:p>
      <w:pPr>
        <w:pStyle w:val="BodyText"/>
      </w:pPr>
      <w:r>
        <w:rPr>
          <w:bCs/>
          <w:b/>
        </w:rPr>
        <w:t xml:space="preserve">Email:</w:t>
      </w:r>
      <w:r>
        <w:t xml:space="preserve"> </w:t>
      </w:r>
      <w:r>
        <w:t xml:space="preserve">procurement@tashkenturban.uz</w:t>
      </w:r>
    </w:p>
    <w:p>
      <w:pPr>
        <w:pStyle w:val="BodyText"/>
      </w:pPr>
      <w:r>
        <w:rPr>
          <w:bCs/>
          <w:b/>
        </w:rPr>
        <w:t xml:space="preserve">Phone:</w:t>
      </w:r>
      <w:r>
        <w:t xml:space="preserve"> </w:t>
      </w:r>
      <w:r>
        <w:t xml:space="preserve">+998 71 200 45 67</w:t>
      </w:r>
    </w:p>
    <w:bookmarkEnd w:id="21"/>
    <w:bookmarkStart w:id="22" w:name="supplier-architect"/>
    <w:p>
      <w:pPr>
        <w:pStyle w:val="Heading3"/>
      </w:pPr>
      <w:r>
        <w:t xml:space="preserve">Supplier (Architect)</w:t>
      </w:r>
    </w:p>
    <w:p>
      <w:pPr>
        <w:pStyle w:val="FirstParagraph"/>
      </w:pPr>
      <w:r>
        <w:rPr>
          <w:bCs/>
          <w:b/>
        </w:rPr>
        <w:t xml:space="preserve">Firm:</w:t>
      </w:r>
      <w:r>
        <w:t xml:space="preserve"> </w:t>
      </w:r>
      <w:r>
        <w:t xml:space="preserve">Central Asia Architectural Studio</w:t>
      </w:r>
    </w:p>
    <w:p>
      <w:pPr>
        <w:pStyle w:val="BodyText"/>
      </w:pPr>
      <w:r>
        <w:rPr>
          <w:bCs/>
          <w:b/>
        </w:rPr>
        <w:t xml:space="preserve">Address:</w:t>
      </w:r>
      <w:r>
        <w:t xml:space="preserve"> </w:t>
      </w:r>
      <w:r>
        <w:t xml:space="preserve">18 Navoi Street, Tashkent 100084, Uzbekistan</w:t>
      </w:r>
    </w:p>
    <w:p>
      <w:pPr>
        <w:pStyle w:val="BodyText"/>
      </w:pPr>
      <w:r>
        <w:rPr>
          <w:bCs/>
          <w:b/>
        </w:rPr>
        <w:t xml:space="preserve">Registration No.:</w:t>
      </w:r>
      <w:r>
        <w:t xml:space="preserve"> </w:t>
      </w:r>
      <w:r>
        <w:t xml:space="preserve">1000000000000000001</w:t>
      </w:r>
    </w:p>
    <w:p>
      <w:pPr>
        <w:pStyle w:val="BodyText"/>
      </w:pPr>
      <w:r>
        <w:rPr>
          <w:bCs/>
          <w:b/>
        </w:rPr>
        <w:t xml:space="preserve">Tax ID (INN):</w:t>
      </w:r>
      <w:r>
        <w:t xml:space="preserve"> </w:t>
      </w:r>
      <w:r>
        <w:t xml:space="preserve">2000000001</w:t>
      </w:r>
    </w:p>
    <w:p>
      <w:pPr>
        <w:pStyle w:val="BodyText"/>
      </w:pPr>
      <w:r>
        <w:rPr>
          <w:bCs/>
          <w:b/>
        </w:rPr>
        <w:t xml:space="preserve">Lead Architect:</w:t>
      </w:r>
      <w:r>
        <w:t xml:space="preserve"> </w:t>
      </w:r>
      <w:r>
        <w:t xml:space="preserve">Ms. Dilnoza Rahimova, Chief Architect</w:t>
      </w:r>
    </w:p>
    <w:p>
      <w:pPr>
        <w:pStyle w:val="BodyText"/>
      </w:pPr>
      <w:r>
        <w:rPr>
          <w:bCs/>
          <w:b/>
        </w:rPr>
        <w:t xml:space="preserve">Email:</w:t>
      </w:r>
      <w:r>
        <w:t xml:space="preserve"> </w:t>
      </w:r>
      <w:r>
        <w:t xml:space="preserve">info@caarchstudio.uz</w:t>
      </w:r>
    </w:p>
    <w:p>
      <w:pPr>
        <w:pStyle w:val="BodyText"/>
      </w:pPr>
      <w:r>
        <w:rPr>
          <w:bCs/>
          <w:b/>
        </w:rPr>
        <w:t xml:space="preserve">Phone:</w:t>
      </w:r>
      <w:r>
        <w:t xml:space="preserve"> </w:t>
      </w:r>
      <w:r>
        <w:t xml:space="preserve">+998 71 233 89 01</w:t>
      </w:r>
    </w:p>
    <w:bookmarkEnd w:id="22"/>
    <w:bookmarkEnd w:id="23"/>
    <w:bookmarkStart w:id="24" w:name="Xcbe46c9c2d45f6da966429e85a45c40a15889d5"/>
    <w:p>
      <w:pPr>
        <w:pStyle w:val="Heading2"/>
      </w:pPr>
      <w:r>
        <w:t xml:space="preserve">2. Description of Services — Architect Engagement</w:t>
      </w:r>
    </w:p>
    <w:p>
      <w:pPr>
        <w:pStyle w:val="FirstParagraph"/>
      </w:pPr>
      <w:r>
        <w:t xml:space="preserve">This Purchase Order is issued by Tashkent Urban Development LLC to formally engage the services of Central Asia Architectural Studio, a licensed Architect firm registered in Uzbekistan Tashkent, for the complete architectural design, structural planning, and regulatory compliance documentation of a mixed-use commercial and residential complex located in the Yakkasaray district of Tashkent, Uzbekistan.</w:t>
      </w:r>
    </w:p>
    <w:p>
      <w:pPr>
        <w:pStyle w:val="BodyText"/>
      </w:pPr>
      <w:r>
        <w:t xml:space="preserve">The Architect shall be responsible for the following scope of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Quantity / Phase</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Initial site survey, feasibility study, and conceptual design development for the 12-storey mixed-use complex in Tashkent</w:t>
            </w:r>
          </w:p>
        </w:tc>
        <w:tc>
          <w:tcPr/>
          <w:p>
            <w:pPr>
              <w:pStyle w:val="Compact"/>
              <w:jc w:val="left"/>
            </w:pPr>
            <w:r>
              <w:t xml:space="preserve">1 Phase</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Detailed architectural drawings, structural engineering plans, MEP (mechanical, electrical, plumbing) coordination, and interior design specifications</w:t>
            </w:r>
          </w:p>
        </w:tc>
        <w:tc>
          <w:tcPr/>
          <w:p>
            <w:pPr>
              <w:pStyle w:val="Compact"/>
              <w:jc w:val="left"/>
            </w:pPr>
            <w:r>
              <w:t xml:space="preserve">1 Phase</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3</w:t>
            </w:r>
          </w:p>
        </w:tc>
        <w:tc>
          <w:tcPr/>
          <w:p>
            <w:pPr>
              <w:pStyle w:val="Compact"/>
              <w:jc w:val="left"/>
            </w:pPr>
            <w:r>
              <w:t xml:space="preserve">Preparation and submission of all regulatory documentation to the Tashkent City Architecture and Urban Planning Committee, including building permits and environmental impact assessments</w:t>
            </w:r>
          </w:p>
        </w:tc>
        <w:tc>
          <w:tcPr/>
          <w:p>
            <w:pPr>
              <w:pStyle w:val="Compact"/>
              <w:jc w:val="left"/>
            </w:pPr>
            <w:r>
              <w:t xml:space="preserve">1 Phase</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4</w:t>
            </w:r>
          </w:p>
        </w:tc>
        <w:tc>
          <w:tcPr/>
          <w:p>
            <w:pPr>
              <w:pStyle w:val="Compact"/>
              <w:jc w:val="left"/>
            </w:pPr>
            <w:r>
              <w:t xml:space="preserve">Construction-phase architectural supervision, site inspections (minimum 8 visits), and design modification support</w:t>
            </w:r>
          </w:p>
        </w:tc>
        <w:tc>
          <w:tcPr/>
          <w:p>
            <w:pPr>
              <w:pStyle w:val="Compact"/>
              <w:jc w:val="left"/>
            </w:pPr>
            <w:r>
              <w:t xml:space="preserve">8 Visits</w:t>
            </w:r>
          </w:p>
        </w:tc>
        <w:tc>
          <w:tcPr/>
          <w:p>
            <w:pPr>
              <w:pStyle w:val="Compact"/>
              <w:jc w:val="left"/>
            </w:pPr>
            <w:r>
              <w:t xml:space="preserve">28,000,000</w:t>
            </w:r>
          </w:p>
        </w:tc>
        <w:tc>
          <w:tcPr/>
          <w:p>
            <w:pPr>
              <w:pStyle w:val="Compact"/>
              <w:jc w:val="left"/>
            </w:pPr>
            <w:r>
              <w:t xml:space="preserve">224,000,000</w:t>
            </w:r>
          </w:p>
        </w:tc>
      </w:tr>
      <w:tr>
        <w:tc>
          <w:tcPr/>
          <w:p>
            <w:pPr>
              <w:pStyle w:val="Compact"/>
              <w:jc w:val="left"/>
            </w:pPr>
            <w:r>
              <w:t xml:space="preserve">5</w:t>
            </w:r>
          </w:p>
        </w:tc>
        <w:tc>
          <w:tcPr/>
          <w:p>
            <w:pPr>
              <w:pStyle w:val="Compact"/>
              <w:jc w:val="left"/>
            </w:pPr>
            <w:r>
              <w:t xml:space="preserve">Final as-built documentation, handover package, and 12-month post-completion architectural warranty consultation</w:t>
            </w:r>
          </w:p>
        </w:tc>
        <w:tc>
          <w:tcPr/>
          <w:p>
            <w:pPr>
              <w:pStyle w:val="Compact"/>
              <w:jc w:val="left"/>
            </w:pPr>
            <w:r>
              <w:t xml:space="preserve">1 Phase</w:t>
            </w:r>
          </w:p>
        </w:tc>
        <w:tc>
          <w:tcPr/>
          <w:p>
            <w:pPr>
              <w:pStyle w:val="Compact"/>
              <w:jc w:val="left"/>
            </w:pPr>
            <w:r>
              <w:t xml:space="preserve">76,000,000</w:t>
            </w:r>
          </w:p>
        </w:tc>
        <w:tc>
          <w:tcPr/>
          <w:p>
            <w:pPr>
              <w:pStyle w:val="Compact"/>
              <w:jc w:val="left"/>
            </w:pPr>
            <w:r>
              <w:t xml:space="preserve">76,000,000</w:t>
            </w:r>
          </w:p>
        </w:tc>
      </w:tr>
      <w:tr>
        <w:tc>
          <w:tcPr>
            <w:gridSpan w:val="4"/>
          </w:tcPr>
          <w:p>
            <w:pPr>
              <w:pStyle w:val="Compact"/>
              <w:jc w:val="left"/>
            </w:pPr>
            <w:r>
              <w:t xml:space="preserve">TOTAL AMOUNT (VAT included at 12%)</w:t>
            </w:r>
          </w:p>
        </w:tc>
        <w:tc>
          <w:tcPr/>
          <w:p>
            <w:pPr>
              <w:pStyle w:val="Compact"/>
              <w:jc w:val="left"/>
            </w:pPr>
            <w:r>
              <w:t xml:space="preserve">900,000,000 UZS</w:t>
            </w:r>
          </w:p>
        </w:tc>
      </w:tr>
    </w:tbl>
    <w:bookmarkEnd w:id="24"/>
    <w:bookmarkStart w:id="25" w:name="payment-terms-and-schedule"/>
    <w:p>
      <w:pPr>
        <w:pStyle w:val="Heading2"/>
      </w:pPr>
      <w:r>
        <w:t xml:space="preserve">3. Payment Terms and Schedule</w:t>
      </w:r>
    </w:p>
    <w:p>
      <w:pPr>
        <w:pStyle w:val="FirstParagraph"/>
      </w:pPr>
      <w:r>
        <w:t xml:space="preserve">All payments under this Purchase Order shall be made in Uzbekistani Som (UZS) via bank transfer to the Architect's designated account at the National Bank of the Republic of Uzbekistan. The payment schedule is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(UZS)</w:t>
            </w:r>
          </w:p>
        </w:tc>
        <w:tc>
          <w:tcPr/>
          <w:p>
            <w:pPr>
              <w:pStyle w:val="Compact"/>
              <w:jc w:val="left"/>
            </w:pPr>
            <w:r>
              <w:t xml:space="preserve">Due Date</w:t>
            </w:r>
          </w:p>
        </w:tc>
      </w:tr>
      <w:tr>
        <w:tc>
          <w:tcPr/>
          <w:p>
            <w:pPr>
              <w:pStyle w:val="Compact"/>
              <w:jc w:val="left"/>
            </w:pPr>
            <w:r>
              <w:t xml:space="preserve">Advance payment upon signing of this Purchase Order</w:t>
            </w:r>
          </w:p>
        </w:tc>
        <w:tc>
          <w:tcPr/>
          <w:p>
            <w:pPr>
              <w:pStyle w:val="Compact"/>
              <w:jc w:val="left"/>
            </w:pPr>
            <w:r>
              <w:t xml:space="preserve">20%</w:t>
            </w:r>
          </w:p>
        </w:tc>
        <w:tc>
          <w:tcPr/>
          <w:p>
            <w:pPr>
              <w:pStyle w:val="Compact"/>
              <w:jc w:val="left"/>
            </w:pPr>
            <w:r>
              <w:t xml:space="preserve">180,000,000</w:t>
            </w:r>
          </w:p>
        </w:tc>
        <w:tc>
          <w:tcPr/>
          <w:p>
            <w:pPr>
              <w:pStyle w:val="Compact"/>
              <w:jc w:val="left"/>
            </w:pPr>
            <w:r>
              <w:t xml:space="preserve">Within 5 business days of PO acceptance</w:t>
            </w:r>
          </w:p>
        </w:tc>
      </w:tr>
      <w:tr>
        <w:tc>
          <w:tcPr/>
          <w:p>
            <w:pPr>
              <w:pStyle w:val="Compact"/>
              <w:jc w:val="left"/>
            </w:pPr>
            <w:r>
              <w:t xml:space="preserve">Upon approval of conceptual design by the Purchaser</w:t>
            </w:r>
          </w:p>
        </w:tc>
        <w:tc>
          <w:tcPr/>
          <w:p>
            <w:pPr>
              <w:pStyle w:val="Compact"/>
              <w:jc w:val="left"/>
            </w:pPr>
            <w:r>
              <w:t xml:space="preserve">25%</w:t>
            </w:r>
          </w:p>
        </w:tc>
        <w:tc>
          <w:tcPr/>
          <w:p>
            <w:pPr>
              <w:pStyle w:val="Compact"/>
              <w:jc w:val="left"/>
            </w:pPr>
            <w:r>
              <w:t xml:space="preserve">225,000,000</w:t>
            </w:r>
          </w:p>
        </w:tc>
        <w:tc>
          <w:tcPr/>
          <w:p>
            <w:pPr>
              <w:pStyle w:val="Compact"/>
              <w:jc w:val="left"/>
            </w:pPr>
            <w:r>
              <w:t xml:space="preserve">Within 10 business days of design approval</w:t>
            </w:r>
          </w:p>
        </w:tc>
      </w:tr>
      <w:tr>
        <w:tc>
          <w:tcPr/>
          <w:p>
            <w:pPr>
              <w:pStyle w:val="Compact"/>
              <w:jc w:val="left"/>
            </w:pPr>
            <w:r>
              <w:t xml:space="preserve">Upon submission of full construction drawings and permit approval</w:t>
            </w:r>
          </w:p>
        </w:tc>
        <w:tc>
          <w:tcPr/>
          <w:p>
            <w:pPr>
              <w:pStyle w:val="Compact"/>
              <w:jc w:val="left"/>
            </w:pPr>
            <w:r>
              <w:t xml:space="preserve">30%</w:t>
            </w:r>
          </w:p>
        </w:tc>
        <w:tc>
          <w:tcPr/>
          <w:p>
            <w:pPr>
              <w:pStyle w:val="Compact"/>
              <w:jc w:val="left"/>
            </w:pPr>
            <w:r>
              <w:t xml:space="preserve">270,000,000</w:t>
            </w:r>
          </w:p>
        </w:tc>
        <w:tc>
          <w:tcPr/>
          <w:p>
            <w:pPr>
              <w:pStyle w:val="Compact"/>
              <w:jc w:val="left"/>
            </w:pPr>
            <w:r>
              <w:t xml:space="preserve">Within 10 business days of permit issuance</w:t>
            </w:r>
          </w:p>
        </w:tc>
      </w:tr>
      <w:tr>
        <w:tc>
          <w:tcPr/>
          <w:p>
            <w:pPr>
              <w:pStyle w:val="Compact"/>
              <w:jc w:val="left"/>
            </w:pPr>
            <w:r>
              <w:t xml:space="preserve">Upon completion of construction supervision phase</w:t>
            </w:r>
          </w:p>
        </w:tc>
        <w:tc>
          <w:tcPr/>
          <w:p>
            <w:pPr>
              <w:pStyle w:val="Compact"/>
              <w:jc w:val="left"/>
            </w:pPr>
            <w:r>
              <w:t xml:space="preserve">15%</w:t>
            </w:r>
          </w:p>
        </w:tc>
        <w:tc>
          <w:tcPr/>
          <w:p>
            <w:pPr>
              <w:pStyle w:val="Compact"/>
              <w:jc w:val="left"/>
            </w:pPr>
            <w:r>
              <w:t xml:space="preserve">135,000,000</w:t>
            </w:r>
          </w:p>
        </w:tc>
        <w:tc>
          <w:tcPr/>
          <w:p>
            <w:pPr>
              <w:pStyle w:val="Compact"/>
              <w:jc w:val="left"/>
            </w:pPr>
            <w:r>
              <w:t xml:space="preserve">Within 10 business days of final site inspection</w:t>
            </w:r>
          </w:p>
        </w:tc>
      </w:tr>
      <w:tr>
        <w:tc>
          <w:tcPr/>
          <w:p>
            <w:pPr>
              <w:pStyle w:val="Compact"/>
              <w:jc w:val="left"/>
            </w:pPr>
            <w:r>
              <w:t xml:space="preserve">Final payment upon delivery of as-built documentation</w:t>
            </w:r>
          </w:p>
        </w:tc>
        <w:tc>
          <w:tcPr/>
          <w:p>
            <w:pPr>
              <w:pStyle w:val="Compact"/>
              <w:jc w:val="left"/>
            </w:pPr>
            <w:r>
              <w:t xml:space="preserve">10%</w:t>
            </w:r>
          </w:p>
        </w:tc>
        <w:tc>
          <w:tcPr/>
          <w:p>
            <w:pPr>
              <w:pStyle w:val="Compact"/>
              <w:jc w:val="left"/>
            </w:pPr>
            <w:r>
              <w:t xml:space="preserve">90,000,000</w:t>
            </w:r>
          </w:p>
        </w:tc>
        <w:tc>
          <w:tcPr/>
          <w:p>
            <w:pPr>
              <w:pStyle w:val="Compact"/>
              <w:jc w:val="left"/>
            </w:pPr>
            <w:r>
              <w:t xml:space="preserve">Within 15 business days of project handover</w:t>
            </w:r>
          </w:p>
        </w:tc>
      </w:tr>
    </w:tbl>
    <w:bookmarkEnd w:id="25"/>
    <w:bookmarkStart w:id="26" w:name="terms-and-conditions"/>
    <w:p>
      <w:pPr>
        <w:pStyle w:val="Heading2"/>
      </w:pPr>
      <w:r>
        <w:t xml:space="preserve">4. Terms and Conditions</w:t>
      </w:r>
    </w:p>
    <w:p>
      <w:pPr>
        <w:pStyle w:val="FirstParagraph"/>
      </w:pPr>
      <w:r>
        <w:t xml:space="preserve">4.1. This Purchase Order shall be governed by and interpreted in accordance with the Civil Code of the Republic of Uzbekistan and the applicable regulations of the Ministry of Architecture and Construction of Uzbekistan.</w:t>
      </w:r>
    </w:p>
    <w:p>
      <w:pPr>
        <w:pStyle w:val="BodyText"/>
      </w:pPr>
      <w:r>
        <w:t xml:space="preserve">4.2. The Architect warrants that all design deliverables shall comply with the current building codes, seismic design standards (SNiP), and urban planning regulations applicable in Tashkent, Uzbekistan. The Architect shall hold a valid professional license issued by the Chamber of Architects of Uzbekistan.</w:t>
      </w:r>
    </w:p>
    <w:p>
      <w:pPr>
        <w:pStyle w:val="BodyText"/>
      </w:pPr>
      <w:r>
        <w:t xml:space="preserve">4.3. The Architect shall maintain professional liability insurance with a minimum coverage of 500,000,000 UZS for the duration of the project and shall provide a certificate of insurance upon request.</w:t>
      </w:r>
    </w:p>
    <w:p>
      <w:pPr>
        <w:pStyle w:val="BodyText"/>
      </w:pPr>
      <w:r>
        <w:t xml:space="preserve">4.4. All intellectual property rights in the architectural drawings, 3D models, and design documents produced under this Purchase Order shall vest in the Purchaser upon full payment. The Architect retains the right to reference the completed project in a professional portfolio with prior written consent.</w:t>
      </w:r>
    </w:p>
    <w:p>
      <w:pPr>
        <w:pStyle w:val="BodyText"/>
      </w:pPr>
      <w:r>
        <w:t xml:space="preserve">4.5. The Architect shall not subcontract any portion of the architectural design work without the prior written approval of the Purchaser. Any approved subcontractor shall be bound by the same terms as stated in this Purchase Order.</w:t>
      </w:r>
    </w:p>
    <w:p>
      <w:pPr>
        <w:pStyle w:val="BodyText"/>
      </w:pPr>
      <w:r>
        <w:t xml:space="preserve">4.6. In the event of a dispute arising from this Purchase Order, both parties shall first attempt to resolve the matter through amicable negotiation in Tashkent, Uzbekistan. Should negotiation fail within 30 days, the dispute shall be submitted to the Tashkent City Arbitration Court for resolution.</w:t>
      </w:r>
    </w:p>
    <w:p>
      <w:pPr>
        <w:pStyle w:val="BodyText"/>
      </w:pPr>
      <w:r>
        <w:t xml:space="preserve">4.7. The Architect shall adhere to the project timeline as outlined in the attached Schedule of Works. Delays exceeding 15 calendar days attributable to the Architect shall result in a penalty of 0.5% of the total contract value per day of delay, capped at 10% of the total value.</w:t>
      </w:r>
    </w:p>
    <w:bookmarkEnd w:id="26"/>
    <w:bookmarkStart w:id="27" w:name="project-timeline"/>
    <w:p>
      <w:pPr>
        <w:pStyle w:val="Heading2"/>
      </w:pPr>
      <w:r>
        <w:t xml:space="preserve">5. Project Timeline</w:t>
      </w:r>
    </w:p>
    <w:p>
      <w:pPr>
        <w:pStyle w:val="FirstParagraph"/>
      </w:pPr>
      <w:r>
        <w:t xml:space="preserve">The Architect shall complete all phases of work within a total project duration of 14 months from the date of this Purchase Order acceptance. The conceptual design phase shall be completed within 3 months, detailed design and regulatory submissions within 6 months, construction supervision within 9 months, and final documentation within 14 months. All milestones are subject to the approval timelines of the Tashkent City Architecture and Urban Planning Committee.</w:t>
      </w:r>
    </w:p>
    <w:bookmarkEnd w:id="27"/>
    <w:p>
      <w:pPr>
        <w:pStyle w:val="BodyText"/>
      </w:pPr>
      <w:r>
        <w:rPr>
          <w:bCs/>
          <w:b/>
        </w:rPr>
        <w:t xml:space="preserve">Note:</w:t>
      </w:r>
      <w:r>
        <w:t xml:space="preserve"> </w:t>
      </w:r>
      <w:r>
        <w:t xml:space="preserve">This Purchase Order is valid only for the project site located at Plot 7, Yakkasaray District, Tashkent, Uzbekistan. Any change in project location, scope, or scale exceeding 10% of the original design parameters shall require a formal amendment to this Purchase Order signed by both parties.</w:t>
      </w:r>
    </w:p>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for the engagement of Architect services in Uzbekistan Tashkent.</w:t>
      </w:r>
    </w:p>
    <w:bookmarkEnd w:id="28"/>
    <w:p>
      <w:pPr>
        <w:pStyle w:val="BodyText"/>
      </w:pPr>
      <w:r>
        <w:rPr>
          <w:bCs/>
          <w:b/>
        </w:rPr>
        <w:t xml:space="preserve">For and on behalf of the Purchaser</w:t>
      </w:r>
      <w:r>
        <w:br/>
      </w:r>
      <w:r>
        <w:t xml:space="preserve">Tashkent Urban Development LLC</w:t>
      </w:r>
      <w:r>
        <w:br/>
      </w:r>
      <w:r>
        <w:br/>
      </w:r>
      <w:r>
        <w:t xml:space="preserve">Name: Jasur Karimov</w:t>
      </w:r>
      <w:r>
        <w:br/>
      </w:r>
      <w:r>
        <w:t xml:space="preserve">Title: Project Director</w:t>
      </w:r>
      <w:r>
        <w:br/>
      </w:r>
      <w:r>
        <w:t xml:space="preserve">Date: _______________</w:t>
      </w:r>
    </w:p>
    <w:p>
      <w:pPr>
        <w:pStyle w:val="BodyText"/>
      </w:pPr>
      <w:r>
        <w:rPr>
          <w:bCs/>
          <w:b/>
        </w:rPr>
        <w:t xml:space="preserve">For and on behalf of the Architect</w:t>
      </w:r>
      <w:r>
        <w:br/>
      </w:r>
      <w:r>
        <w:t xml:space="preserve">Central Asia Architectural Studio</w:t>
      </w:r>
      <w:r>
        <w:br/>
      </w:r>
      <w:r>
        <w:br/>
      </w:r>
      <w:r>
        <w:t xml:space="preserve">Name: Dilnoza Rahimova</w:t>
      </w:r>
      <w:r>
        <w:br/>
      </w:r>
      <w:r>
        <w:t xml:space="preserve">Title: Chief Architect</w:t>
      </w:r>
      <w:r>
        <w:br/>
      </w:r>
      <w:r>
        <w:t xml:space="preserve">Date: _______________</w:t>
      </w:r>
    </w:p>
    <w:p>
      <w:pPr>
        <w:pStyle w:val="BodyText"/>
      </w:pPr>
      <w:r>
        <w:t xml:space="preserve">Purchase Order No. UZ-TSK-2025-0047 | Issued in Tashkent, Republic of Uzbekistan | Page 1 of 1</w:t>
      </w:r>
    </w:p>
    <w:p>
      <w:pPr>
        <w:pStyle w:val="BodyText"/>
      </w:pPr>
      <w:r>
        <w:t xml:space="preserve">This document is issued in two (2) original copies, one for each party. Electronic copies bear the same legal validity as original signed documents in accordance with the Law of the Republic of Uzbekistan on Electronic Documents and Electronic Interactions.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Uzbekistan Tashkent</dc:title>
  <dc:creator/>
  <dc:language>en</dc:language>
  <cp:keywords/>
  <dcterms:created xsi:type="dcterms:W3CDTF">2026-10-10T03:42:18Z</dcterms:created>
  <dcterms:modified xsi:type="dcterms:W3CDTF">2026-10-10T03:42:18Z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