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PO-VC-2025-04782</w:t>
      </w:r>
    </w:p>
    <w:p>
      <w:pPr>
        <w:pStyle w:val="BodyText"/>
      </w:pPr>
      <w:r>
        <w:t xml:space="preserve">Official Purchase Order</w:t>
      </w:r>
    </w:p>
    <w:bookmarkStart w:id="20" w:name="purchase-order"/>
    <w:p>
      <w:pPr>
        <w:pStyle w:val="Heading1"/>
      </w:pPr>
      <w:r>
        <w:t xml:space="preserve">Purchase Order</w:t>
      </w:r>
    </w:p>
    <w:p>
      <w:pPr>
        <w:pStyle w:val="FirstParagraph"/>
      </w:pPr>
      <w:r>
        <w:t xml:space="preserve">Professional Architectural Services — Republic of Venezuela, Caracas</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PO-VC-2025-04782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w:t>
            </w:r>
          </w:p>
        </w:tc>
        <w:tc>
          <w:tcPr/>
          <w:p>
            <w:pPr>
              <w:pStyle w:val="Compact"/>
              <w:jc w:val="left"/>
            </w:pPr>
            <w:r>
              <w:rPr>
                <w:bCs/>
                <w:b/>
              </w:rPr>
              <w:t xml:space="preserve">Currency:</w:t>
            </w:r>
          </w:p>
        </w:tc>
        <w:tc>
          <w:tcPr/>
          <w:p>
            <w:pPr>
              <w:pStyle w:val="Compact"/>
              <w:jc w:val="left"/>
            </w:pPr>
            <w:r>
              <w:t xml:space="preserve">US Dollars (USD) / Bolívares (VES)</w:t>
            </w:r>
          </w:p>
        </w:tc>
      </w:tr>
      <w:tr>
        <w:tc>
          <w:tcPr/>
          <w:p>
            <w:pPr>
              <w:pStyle w:val="Compact"/>
              <w:jc w:val="left"/>
            </w:pPr>
            <w:r>
              <w:rPr>
                <w:bCs/>
                <w:b/>
              </w:rPr>
              <w:t xml:space="preserve">Country of Execution:</w:t>
            </w:r>
          </w:p>
        </w:tc>
        <w:tc>
          <w:tcPr/>
          <w:p>
            <w:pPr>
              <w:pStyle w:val="Compact"/>
              <w:jc w:val="left"/>
            </w:pPr>
            <w:r>
              <w:t xml:space="preserve">Venezuela</w:t>
            </w:r>
          </w:p>
        </w:tc>
        <w:tc>
          <w:tcPr/>
          <w:p>
            <w:pPr>
              <w:pStyle w:val="Compact"/>
              <w:jc w:val="left"/>
            </w:pPr>
            <w:r>
              <w:rPr>
                <w:bCs/>
                <w:b/>
              </w:rPr>
              <w:t xml:space="preserve">City of Execution:</w:t>
            </w:r>
          </w:p>
        </w:tc>
        <w:tc>
          <w:tcPr/>
          <w:p>
            <w:pPr>
              <w:pStyle w:val="Compact"/>
              <w:jc w:val="left"/>
            </w:pPr>
            <w:r>
              <w:t xml:space="preserve">Caracas, Distrito Capital</w:t>
            </w:r>
          </w:p>
        </w:tc>
      </w:tr>
      <w:tr>
        <w:tc>
          <w:tcPr/>
          <w:p>
            <w:pPr>
              <w:pStyle w:val="Compact"/>
              <w:jc w:val="left"/>
            </w:pPr>
            <w:r>
              <w:rPr>
                <w:bCs/>
                <w:b/>
              </w:rPr>
              <w:t xml:space="preserve">Project Reference:</w:t>
            </w:r>
          </w:p>
        </w:tc>
        <w:tc>
          <w:tcPr/>
          <w:p>
            <w:pPr>
              <w:pStyle w:val="Compact"/>
              <w:jc w:val="left"/>
            </w:pPr>
            <w:r>
              <w:t xml:space="preserve">Residential Complex "Torres del Ávila" – Chacao Sector</w:t>
            </w:r>
          </w:p>
        </w:tc>
        <w:tc>
          <w:tcPr/>
          <w:p>
            <w:pPr>
              <w:pStyle w:val="Compact"/>
              <w:jc w:val="left"/>
            </w:pPr>
            <w:r>
              <w:rPr>
                <w:bCs/>
                <w:b/>
              </w:rPr>
              <w:t xml:space="preserve">Regulatory Body:</w:t>
            </w:r>
          </w:p>
        </w:tc>
        <w:tc>
          <w:tcPr/>
          <w:p>
            <w:pPr>
              <w:pStyle w:val="Compact"/>
              <w:jc w:val="left"/>
            </w:pPr>
            <w:r>
              <w:t xml:space="preserve">Ministerio del Poder Popular para el Hábitat y Vivienda (MIVIHABITAT)</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Construcciones del Este, C.A.</w:t>
            </w:r>
          </w:p>
        </w:tc>
      </w:tr>
      <w:tr>
        <w:tc>
          <w:tcPr/>
          <w:p>
            <w:pPr>
              <w:pStyle w:val="Compact"/>
              <w:jc w:val="left"/>
            </w:pPr>
            <w:r>
              <w:rPr>
                <w:bCs/>
                <w:b/>
              </w:rPr>
              <w:t xml:space="preserve">RIF:</w:t>
            </w:r>
          </w:p>
        </w:tc>
        <w:tc>
          <w:tcPr/>
          <w:p>
            <w:pPr>
              <w:pStyle w:val="Compact"/>
              <w:jc w:val="left"/>
            </w:pPr>
            <w:r>
              <w:t xml:space="preserve">J-30487651-2</w:t>
            </w:r>
          </w:p>
        </w:tc>
      </w:tr>
      <w:tr>
        <w:tc>
          <w:tcPr/>
          <w:p>
            <w:pPr>
              <w:pStyle w:val="Compact"/>
              <w:jc w:val="left"/>
            </w:pPr>
            <w:r>
              <w:rPr>
                <w:bCs/>
                <w:b/>
              </w:rPr>
              <w:t xml:space="preserve">Address:</w:t>
            </w:r>
          </w:p>
        </w:tc>
        <w:tc>
          <w:tcPr/>
          <w:p>
            <w:pPr>
              <w:pStyle w:val="Compact"/>
              <w:jc w:val="left"/>
            </w:pPr>
            <w:r>
              <w:t xml:space="preserve">Av. Francisco de Miranda, Torre Empresarial, Piso 14, Chacao, Caracas, Venezuela</w:t>
            </w:r>
          </w:p>
        </w:tc>
      </w:tr>
      <w:tr>
        <w:tc>
          <w:tcPr/>
          <w:p>
            <w:pPr>
              <w:pStyle w:val="Compact"/>
              <w:jc w:val="left"/>
            </w:pPr>
            <w:r>
              <w:rPr>
                <w:bCs/>
                <w:b/>
              </w:rPr>
              <w:t xml:space="preserve">Contact Person:</w:t>
            </w:r>
          </w:p>
        </w:tc>
        <w:tc>
          <w:tcPr/>
          <w:p>
            <w:pPr>
              <w:pStyle w:val="Compact"/>
              <w:jc w:val="left"/>
            </w:pPr>
            <w:r>
              <w:t xml:space="preserve">Ing. María Fernanda Rodríguez – Director of Procurement</w:t>
            </w:r>
          </w:p>
        </w:tc>
      </w:tr>
      <w:tr>
        <w:tc>
          <w:tcPr/>
          <w:p>
            <w:pPr>
              <w:pStyle w:val="Compact"/>
              <w:jc w:val="left"/>
            </w:pPr>
            <w:r>
              <w:rPr>
                <w:bCs/>
                <w:b/>
              </w:rPr>
              <w:t xml:space="preserve">Email / Phone:</w:t>
            </w:r>
          </w:p>
        </w:tc>
        <w:tc>
          <w:tcPr/>
          <w:p>
            <w:pPr>
              <w:pStyle w:val="Compact"/>
              <w:jc w:val="left"/>
            </w:pPr>
            <w:r>
              <w:t xml:space="preserve">procurement@construccionesdelEste.com / +58 212 555 0147</w:t>
            </w:r>
          </w:p>
        </w:tc>
      </w:tr>
    </w:tbl>
    <w:bookmarkEnd w:id="22"/>
    <w:bookmarkStart w:id="23" w:name="supplier-service-provider-architect"/>
    <w:p>
      <w:pPr>
        <w:pStyle w:val="Heading2"/>
      </w:pPr>
      <w:r>
        <w:t xml:space="preserve">3. Supplier / Service Provider (Architect)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Architect Firm:</w:t>
            </w:r>
          </w:p>
        </w:tc>
        <w:tc>
          <w:tcPr/>
          <w:p>
            <w:pPr>
              <w:pStyle w:val="Compact"/>
              <w:jc w:val="left"/>
            </w:pPr>
            <w:r>
              <w:t xml:space="preserve">Estudio Arquitectónico Valencia &amp; Asociados, C.A.</w:t>
            </w:r>
          </w:p>
        </w:tc>
      </w:tr>
      <w:tr>
        <w:tc>
          <w:tcPr/>
          <w:p>
            <w:pPr>
              <w:pStyle w:val="Compact"/>
              <w:jc w:val="left"/>
            </w:pPr>
            <w:r>
              <w:rPr>
                <w:bCs/>
                <w:b/>
              </w:rPr>
              <w:t xml:space="preserve">RIF:</w:t>
            </w:r>
          </w:p>
        </w:tc>
        <w:tc>
          <w:tcPr/>
          <w:p>
            <w:pPr>
              <w:pStyle w:val="Compact"/>
              <w:jc w:val="left"/>
            </w:pPr>
            <w:r>
              <w:t xml:space="preserve">J-40123987-5</w:t>
            </w:r>
          </w:p>
        </w:tc>
      </w:tr>
      <w:tr>
        <w:tc>
          <w:tcPr/>
          <w:p>
            <w:pPr>
              <w:pStyle w:val="Compact"/>
              <w:jc w:val="left"/>
            </w:pPr>
            <w:r>
              <w:rPr>
                <w:bCs/>
                <w:b/>
              </w:rPr>
              <w:t xml:space="preserve">Lead Architect:</w:t>
            </w:r>
          </w:p>
        </w:tc>
        <w:tc>
          <w:tcPr/>
          <w:p>
            <w:pPr>
              <w:pStyle w:val="Compact"/>
              <w:jc w:val="left"/>
            </w:pPr>
            <w:r>
              <w:t xml:space="preserve">Arq. Carlos Eduardo Valencia, C.A. No. 12847 (Colegio de Arquitectos de Venezuela)</w:t>
            </w:r>
          </w:p>
        </w:tc>
      </w:tr>
      <w:tr>
        <w:tc>
          <w:tcPr/>
          <w:p>
            <w:pPr>
              <w:pStyle w:val="Compact"/>
              <w:jc w:val="left"/>
            </w:pPr>
            <w:r>
              <w:rPr>
                <w:bCs/>
                <w:b/>
              </w:rPr>
              <w:t xml:space="preserve">Address:</w:t>
            </w:r>
          </w:p>
        </w:tc>
        <w:tc>
          <w:tcPr/>
          <w:p>
            <w:pPr>
              <w:pStyle w:val="Compact"/>
              <w:jc w:val="left"/>
            </w:pPr>
            <w:r>
              <w:t xml:space="preserve">Calle 48, Edif. Los Pinos, Piso 3, El Rosal, Caracas, Venezuela</w:t>
            </w:r>
          </w:p>
        </w:tc>
      </w:tr>
      <w:tr>
        <w:tc>
          <w:tcPr/>
          <w:p>
            <w:pPr>
              <w:pStyle w:val="Compact"/>
              <w:jc w:val="left"/>
            </w:pPr>
            <w:r>
              <w:rPr>
                <w:bCs/>
                <w:b/>
              </w:rPr>
              <w:t xml:space="preserve">Contact Person:</w:t>
            </w:r>
          </w:p>
        </w:tc>
        <w:tc>
          <w:tcPr/>
          <w:p>
            <w:pPr>
              <w:pStyle w:val="Compact"/>
              <w:jc w:val="left"/>
            </w:pPr>
            <w:r>
              <w:t xml:space="preserve">Arq. Carlos Eduardo Valencia – Principal Architect</w:t>
            </w:r>
          </w:p>
        </w:tc>
      </w:tr>
      <w:tr>
        <w:tc>
          <w:tcPr/>
          <w:p>
            <w:pPr>
              <w:pStyle w:val="Compact"/>
              <w:jc w:val="left"/>
            </w:pPr>
            <w:r>
              <w:rPr>
                <w:bCs/>
                <w:b/>
              </w:rPr>
              <w:t xml:space="preserve">Email / Phone:</w:t>
            </w:r>
          </w:p>
        </w:tc>
        <w:tc>
          <w:tcPr/>
          <w:p>
            <w:pPr>
              <w:pStyle w:val="Compact"/>
              <w:jc w:val="left"/>
            </w:pPr>
            <w:r>
              <w:t xml:space="preserve">info@estudiovalencia.com.ve / +58 212 555 0392</w:t>
            </w:r>
          </w:p>
        </w:tc>
      </w:tr>
    </w:tbl>
    <w:bookmarkEnd w:id="23"/>
    <w:bookmarkStart w:id="24" w:name="scope-of-architectural-services"/>
    <w:p>
      <w:pPr>
        <w:pStyle w:val="Heading2"/>
      </w:pPr>
      <w:r>
        <w:t xml:space="preserve">4. Scope of Architectural Services</w:t>
      </w:r>
    </w:p>
    <w:p>
      <w:pPr>
        <w:pStyle w:val="FirstParagraph"/>
      </w:pPr>
      <w:r>
        <w:t xml:space="preserve">This Purchase Order is issued by Construcciones del Este, C.A. to formally engage the services of the Architect firm Estudio Arquitectónico Valencia &amp; Asociados, C.A. for the complete architectural design, planning, and technical supervision of the residential complex "Torres del Ávila" located in the Chacao sector of Caracas, Venezuela. The Architect shall be responsible for all phases of the project as detailed below, in full compliance with the Venezuelan National Building Code (Código de la Construcción), the regulations of the Alcaldía del Municipio Chacao, and all applicable environmental and urban planning ordinances of the Distrito Capital.</w:t>
      </w:r>
    </w:p>
    <w:bookmarkEnd w:id="24"/>
    <w:bookmarkStart w:id="25" w:name="line-items-architect-services-breakdown"/>
    <w:p>
      <w:pPr>
        <w:pStyle w:val="Heading2"/>
      </w:pPr>
      <w:r>
        <w:t xml:space="preserve">5. Line Items – Architect Services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Feasibility Study &amp; Site Analysis – Topographical survey review, solar orientation study, and urban context assessment for the Chacao plot in Caracas</w:t>
            </w:r>
          </w:p>
        </w:tc>
        <w:tc>
          <w:tcPr/>
          <w:p>
            <w:pPr>
              <w:pStyle w:val="Compact"/>
              <w:jc w:val="left"/>
            </w:pPr>
            <w:r>
              <w:t xml:space="preserve">Pre-Design</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Conceptual Design &amp; Schematic Development – Architectural massing studies, preliminary floor plans, façade concepts, and 3D renderings for the 12-story residential tower</w:t>
            </w:r>
          </w:p>
        </w:tc>
        <w:tc>
          <w:tcPr/>
          <w:p>
            <w:pPr>
              <w:pStyle w:val="Compact"/>
              <w:jc w:val="left"/>
            </w:pPr>
            <w:r>
              <w:t xml:space="preserve">Design</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Detailed Architectural Drawings – Complete construction documentation including structural coordination, MEP layouts, interior finishes schedules, and landscape architecture plans</w:t>
            </w:r>
          </w:p>
        </w:tc>
        <w:tc>
          <w:tcPr/>
          <w:p>
            <w:pPr>
              <w:pStyle w:val="Compact"/>
              <w:jc w:val="left"/>
            </w:pPr>
            <w:r>
              <w:t xml:space="preserve">Documentation</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Permitting &amp; Regulatory Compliance – Preparation and submission of all architectural plans to the Alcaldía de Chacao, MIVIHABITAT, and the Instituto Nacional de Parques for environmental clearance in Caracas</w:t>
            </w:r>
          </w:p>
        </w:tc>
        <w:tc>
          <w:tcPr/>
          <w:p>
            <w:pPr>
              <w:pStyle w:val="Compact"/>
              <w:jc w:val="left"/>
            </w:pPr>
            <w:r>
              <w:t xml:space="preserve">Permitting</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Construction Phase Supervision – On-site architectural supervision, weekly progress reports, quality assurance inspections, and coordination with the general contractor throughout the 18-month construction period</w:t>
            </w:r>
          </w:p>
        </w:tc>
        <w:tc>
          <w:tcPr/>
          <w:p>
            <w:pPr>
              <w:pStyle w:val="Compact"/>
              <w:jc w:val="left"/>
            </w:pPr>
            <w:r>
              <w:t xml:space="preserve">Construction</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As-Built Documentation &amp; Handover – Final architectural as-built drawings, operation and maintenance manuals, and project closeout documentation</w:t>
            </w:r>
          </w:p>
        </w:tc>
        <w:tc>
          <w:tcPr/>
          <w:p>
            <w:pPr>
              <w:pStyle w:val="Compact"/>
              <w:jc w:val="left"/>
            </w:pPr>
            <w:r>
              <w:t xml:space="preserve">Closeout</w:t>
            </w:r>
          </w:p>
        </w:tc>
        <w:tc>
          <w:tcPr/>
          <w:p>
            <w:pPr>
              <w:pStyle w:val="Compact"/>
              <w:jc w:val="left"/>
            </w:pPr>
            <w:r>
              <w:t xml:space="preserve">$9,700.00</w:t>
            </w:r>
          </w:p>
        </w:tc>
      </w:tr>
      <w:tr>
        <w:tc>
          <w:tcPr>
            <w:gridSpan w:val="3"/>
          </w:tcPr>
          <w:p>
            <w:pPr>
              <w:pStyle w:val="Compact"/>
              <w:jc w:val="left"/>
            </w:pPr>
            <w:r>
              <w:rPr>
                <w:bCs/>
                <w:b/>
              </w:rPr>
              <w:t xml:space="preserve">TOTAL PURCHASE ORDER VALUE</w:t>
            </w:r>
          </w:p>
        </w:tc>
        <w:tc>
          <w:tcPr/>
          <w:p>
            <w:pPr>
              <w:pStyle w:val="Compact"/>
              <w:jc w:val="left"/>
            </w:pPr>
            <w:r>
              <w:rPr>
                <w:bCs/>
                <w:b/>
              </w:rPr>
              <w:t xml:space="preserve">$216,000.00</w:t>
            </w:r>
          </w:p>
        </w:tc>
      </w:tr>
      <w:tr>
        <w:tc>
          <w:tcPr>
            <w:gridSpan w:val="3"/>
          </w:tcPr>
          <w:p>
            <w:pPr>
              <w:pStyle w:val="Compact"/>
              <w:jc w:val="left"/>
            </w:pPr>
            <w:r>
              <w:rPr>
                <w:bCs/>
                <w:b/>
              </w:rPr>
              <w:t xml:space="preserve">IVA (16% – Venezuelan Value Added Tax)</w:t>
            </w:r>
          </w:p>
        </w:tc>
        <w:tc>
          <w:tcPr/>
          <w:p>
            <w:pPr>
              <w:pStyle w:val="Compact"/>
              <w:jc w:val="left"/>
            </w:pPr>
            <w:r>
              <w:rPr>
                <w:bCs/>
                <w:b/>
              </w:rPr>
              <w:t xml:space="preserve">$34,560.00</w:t>
            </w:r>
          </w:p>
        </w:tc>
      </w:tr>
      <w:tr>
        <w:tc>
          <w:tcPr>
            <w:gridSpan w:val="3"/>
          </w:tcPr>
          <w:p>
            <w:pPr>
              <w:pStyle w:val="Compact"/>
              <w:jc w:val="left"/>
            </w:pPr>
            <w:r>
              <w:rPr>
                <w:bCs/>
                <w:b/>
              </w:rPr>
              <w:t xml:space="preserve">GRAND TOTAL (USD)</w:t>
            </w:r>
          </w:p>
        </w:tc>
        <w:tc>
          <w:tcPr/>
          <w:p>
            <w:pPr>
              <w:pStyle w:val="Compact"/>
              <w:jc w:val="left"/>
            </w:pPr>
            <w:r>
              <w:rPr>
                <w:bCs/>
                <w:b/>
              </w:rPr>
              <w:t xml:space="preserve">$250,560.00</w:t>
            </w:r>
          </w:p>
        </w:tc>
      </w:tr>
    </w:tbl>
    <w:bookmarkEnd w:id="25"/>
    <w:bookmarkStart w:id="26" w:name="payment-terms"/>
    <w:p>
      <w:pPr>
        <w:pStyle w:val="Heading2"/>
      </w:pPr>
      <w:r>
        <w:t xml:space="preserve">6. Payment Terms</w:t>
      </w:r>
    </w:p>
    <w:p>
      <w:pPr>
        <w:pStyle w:val="FirstParagraph"/>
      </w:pPr>
      <w:r>
        <w:t xml:space="preserve">Payment shall be made in accordance with the following milestone schedule, with each disbursement contingent upon written approval by the Buyer's project management team: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Contract signing &amp; mobilization of the Architect team in Caracas</w:t>
            </w:r>
          </w:p>
        </w:tc>
        <w:tc>
          <w:tcPr/>
          <w:p>
            <w:pPr>
              <w:pStyle w:val="Compact"/>
              <w:jc w:val="left"/>
            </w:pPr>
            <w:r>
              <w:t xml:space="preserve">15%</w:t>
            </w:r>
          </w:p>
        </w:tc>
        <w:tc>
          <w:tcPr/>
          <w:p>
            <w:pPr>
              <w:pStyle w:val="Compact"/>
              <w:jc w:val="left"/>
            </w:pPr>
            <w:r>
              <w:t xml:space="preserve">$37,584.00</w:t>
            </w:r>
          </w:p>
        </w:tc>
      </w:tr>
      <w:tr>
        <w:tc>
          <w:tcPr/>
          <w:p>
            <w:pPr>
              <w:pStyle w:val="Compact"/>
              <w:jc w:val="left"/>
            </w:pPr>
            <w:r>
              <w:t xml:space="preserve">Approval of Conceptual Design package</w:t>
            </w:r>
          </w:p>
        </w:tc>
        <w:tc>
          <w:tcPr/>
          <w:p>
            <w:pPr>
              <w:pStyle w:val="Compact"/>
              <w:jc w:val="left"/>
            </w:pPr>
            <w:r>
              <w:t xml:space="preserve">20%</w:t>
            </w:r>
          </w:p>
        </w:tc>
        <w:tc>
          <w:tcPr/>
          <w:p>
            <w:pPr>
              <w:pStyle w:val="Compact"/>
              <w:jc w:val="left"/>
            </w:pPr>
            <w:r>
              <w:t xml:space="preserve">$50,112.00</w:t>
            </w:r>
          </w:p>
        </w:tc>
      </w:tr>
      <w:tr>
        <w:tc>
          <w:tcPr/>
          <w:p>
            <w:pPr>
              <w:pStyle w:val="Compact"/>
              <w:jc w:val="left"/>
            </w:pPr>
            <w:r>
              <w:t xml:space="preserve">Submission of complete Detailed Architectural Drawings</w:t>
            </w:r>
          </w:p>
        </w:tc>
        <w:tc>
          <w:tcPr/>
          <w:p>
            <w:pPr>
              <w:pStyle w:val="Compact"/>
              <w:jc w:val="left"/>
            </w:pPr>
            <w:r>
              <w:t xml:space="preserve">25%</w:t>
            </w:r>
          </w:p>
        </w:tc>
        <w:tc>
          <w:tcPr/>
          <w:p>
            <w:pPr>
              <w:pStyle w:val="Compact"/>
              <w:jc w:val="left"/>
            </w:pPr>
            <w:r>
              <w:t xml:space="preserve">$62,640.00</w:t>
            </w:r>
          </w:p>
        </w:tc>
      </w:tr>
      <w:tr>
        <w:tc>
          <w:tcPr/>
          <w:p>
            <w:pPr>
              <w:pStyle w:val="Compact"/>
              <w:jc w:val="left"/>
            </w:pPr>
            <w:r>
              <w:t xml:space="preserve">Obtaining all municipal and national permits in Caracas</w:t>
            </w:r>
          </w:p>
        </w:tc>
        <w:tc>
          <w:tcPr/>
          <w:p>
            <w:pPr>
              <w:pStyle w:val="Compact"/>
              <w:jc w:val="left"/>
            </w:pPr>
            <w:r>
              <w:t xml:space="preserve">15%</w:t>
            </w:r>
          </w:p>
        </w:tc>
        <w:tc>
          <w:tcPr/>
          <w:p>
            <w:pPr>
              <w:pStyle w:val="Compact"/>
              <w:jc w:val="left"/>
            </w:pPr>
            <w:r>
              <w:t xml:space="preserve">$37,584.00</w:t>
            </w:r>
          </w:p>
        </w:tc>
      </w:tr>
      <w:tr>
        <w:tc>
          <w:tcPr/>
          <w:p>
            <w:pPr>
              <w:pStyle w:val="Compact"/>
              <w:jc w:val="left"/>
            </w:pPr>
            <w:r>
              <w:t xml:space="preserve">Monthly construction supervision (pro-rated over 18 months)</w:t>
            </w:r>
          </w:p>
        </w:tc>
        <w:tc>
          <w:tcPr/>
          <w:p>
            <w:pPr>
              <w:pStyle w:val="Compact"/>
              <w:jc w:val="left"/>
            </w:pPr>
            <w:r>
              <w:t xml:space="preserve">20%</w:t>
            </w:r>
          </w:p>
        </w:tc>
        <w:tc>
          <w:tcPr/>
          <w:p>
            <w:pPr>
              <w:pStyle w:val="Compact"/>
              <w:jc w:val="left"/>
            </w:pPr>
            <w:r>
              <w:t xml:space="preserve">$50,112.00</w:t>
            </w:r>
          </w:p>
        </w:tc>
      </w:tr>
      <w:tr>
        <w:tc>
          <w:tcPr/>
          <w:p>
            <w:pPr>
              <w:pStyle w:val="Compact"/>
              <w:jc w:val="left"/>
            </w:pPr>
            <w:r>
              <w:t xml:space="preserve">Final As-Built delivery &amp; project closeout</w:t>
            </w:r>
          </w:p>
        </w:tc>
        <w:tc>
          <w:tcPr/>
          <w:p>
            <w:pPr>
              <w:pStyle w:val="Compact"/>
              <w:jc w:val="left"/>
            </w:pPr>
            <w:r>
              <w:t xml:space="preserve">5%</w:t>
            </w:r>
          </w:p>
        </w:tc>
        <w:tc>
          <w:tcPr/>
          <w:p>
            <w:pPr>
              <w:pStyle w:val="Compact"/>
              <w:jc w:val="left"/>
            </w:pPr>
            <w:r>
              <w:t xml:space="preserve">$12,528.00</w:t>
            </w:r>
          </w:p>
        </w:tc>
      </w:tr>
    </w:tbl>
    <w:p>
      <w:pPr>
        <w:pStyle w:val="BodyText"/>
      </w:pPr>
      <w:r>
        <w:t xml:space="preserve">All payments shall be processed via bank transfer to the Architect's designated account in a Venezuelan financial institution or through an international wire transfer in US Dollars, subject to the foreign exchange regulations of the Banco Central de Venezuela (BCV).</w:t>
      </w:r>
    </w:p>
    <w:bookmarkEnd w:id="26"/>
    <w:bookmarkStart w:id="27" w:name="terms-and-conditions"/>
    <w:p>
      <w:pPr>
        <w:pStyle w:val="Heading2"/>
      </w:pPr>
      <w:r>
        <w:t xml:space="preserve">7.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including the Venezuelan Civil Code and the Commercial Code. Any disputes arising from this Purchase Order regarding the Architect's services in Caracas shall be subject to the exclusive jurisdiction of the courts of the Distrito Capital.</w:t>
      </w:r>
    </w:p>
    <w:p>
      <w:pPr>
        <w:numPr>
          <w:ilvl w:val="0"/>
          <w:numId w:val="1001"/>
        </w:numPr>
        <w:pStyle w:val="Compact"/>
      </w:pPr>
      <w:r>
        <w:rPr>
          <w:bCs/>
          <w:b/>
        </w:rPr>
        <w:t xml:space="preserve">Professional Liability:</w:t>
      </w:r>
      <w:r>
        <w:t xml:space="preserve"> </w:t>
      </w:r>
      <w:r>
        <w:t xml:space="preserve">The Architect shall maintain professional liability insurance (seguro de responsabilidad profesional) with a minimum coverage of USD 500,000 throughout the duration of the project. The Architect is solely responsible for the technical accuracy of all architectural plans and designs delivered under this Purchase Order.</w:t>
      </w:r>
    </w:p>
    <w:p>
      <w:pPr>
        <w:numPr>
          <w:ilvl w:val="0"/>
          <w:numId w:val="1001"/>
        </w:numPr>
        <w:pStyle w:val="Compact"/>
      </w:pPr>
      <w:r>
        <w:rPr>
          <w:bCs/>
          <w:b/>
        </w:rPr>
        <w:t xml:space="preserve">Intellectual Property:</w:t>
      </w:r>
      <w:r>
        <w:t xml:space="preserve"> </w:t>
      </w:r>
      <w:r>
        <w:t xml:space="preserve">All architectural drawings, designs, models, and documentation produced by the Architect under this Purchase Order shall become the exclusive property of the Buyer upon full payment. The Architect retains the right to display the completed project in professional portfolios subject to the Buyer's written consent.</w:t>
      </w:r>
    </w:p>
    <w:p>
      <w:pPr>
        <w:numPr>
          <w:ilvl w:val="0"/>
          <w:numId w:val="1001"/>
        </w:numPr>
        <w:pStyle w:val="Compact"/>
      </w:pPr>
      <w:r>
        <w:rPr>
          <w:bCs/>
          <w:b/>
        </w:rPr>
        <w:t xml:space="preserve">Compliance with Venezuelan Regulations:</w:t>
      </w:r>
      <w:r>
        <w:t xml:space="preserve"> </w:t>
      </w:r>
      <w:r>
        <w:t xml:space="preserve">The Architect shall ensure that all deliverables comply with the Código de la Construcción, the Plan Parcial de Desarrollo Urbano del Municipio Chacao, and all environmental regulations applicable to construction in Caracas, Venezuela.</w:t>
      </w:r>
    </w:p>
    <w:p>
      <w:pPr>
        <w:numPr>
          <w:ilvl w:val="0"/>
          <w:numId w:val="1001"/>
        </w:numPr>
        <w:pStyle w:val="Compact"/>
      </w:pPr>
      <w:r>
        <w:rPr>
          <w:bCs/>
          <w:b/>
        </w:rPr>
        <w:t xml:space="preserve">Confidentiality:</w:t>
      </w:r>
      <w:r>
        <w:t xml:space="preserve"> </w:t>
      </w:r>
      <w:r>
        <w:t xml:space="preserve">Both parties agree to maintain strict confidentiality regarding all project information, financial terms of this Purchase Order, and proprietary data exchanged during the engagement.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Architect shall be compensated for all services rendered up to the date of termination, and all completed architectural deliverables shall be handed over to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foreign exchange restrictions imposed by the Venezuelan government.</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mediation in Caracas. If unresolved within 30 days, the matter shall be referred to arbitration under the rules of the Centro de Arbitraje y Mediación de la Cámara de Comercio de Caracas.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accept all terms, conditions, and obligations set forth in this Purchase Order for the engagement of Architect services in Caracas, Venezuela.</w:t>
      </w:r>
    </w:p>
    <w:bookmarkEnd w:id="28"/>
    <w:p>
      <w:pPr>
        <w:pStyle w:val="BodyText"/>
      </w:pPr>
      <w:r>
        <w:rPr>
          <w:bCs/>
          <w:b/>
        </w:rPr>
        <w:t xml:space="preserve">For the Buyer:</w:t>
      </w:r>
      <w:r>
        <w:br/>
      </w:r>
      <w:r>
        <w:t xml:space="preserve">Construcciones del Este, C.A.</w:t>
      </w:r>
    </w:p>
    <w:p>
      <w:pPr>
        <w:pStyle w:val="BodyText"/>
      </w:pPr>
      <w:r>
        <w:rPr>
          <w:bCs/>
          <w:b/>
        </w:rPr>
        <w:t xml:space="preserve">Name:</w:t>
      </w:r>
      <w:r>
        <w:t xml:space="preserve"> </w:t>
      </w:r>
      <w:r>
        <w:t xml:space="preserve">Ing. María Fernanda Rodríguez</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Architect / Supplier:</w:t>
      </w:r>
      <w:r>
        <w:br/>
      </w:r>
      <w:r>
        <w:t xml:space="preserve">Estudio Arquitectónico Valencia &amp; Asociados, C.A.</w:t>
      </w:r>
    </w:p>
    <w:p>
      <w:pPr>
        <w:pStyle w:val="BodyText"/>
      </w:pPr>
      <w:r>
        <w:rPr>
          <w:bCs/>
          <w:b/>
        </w:rPr>
        <w:t xml:space="preserve">Name:</w:t>
      </w:r>
      <w:r>
        <w:t xml:space="preserve"> </w:t>
      </w:r>
      <w:r>
        <w:t xml:space="preserve">Arq. Carlos Eduardo Valencia</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PO-VC-2025-04782 | Issued in Caracas, Venezuela | Construcciones del Este, C.A. | RIF: J-30487651-2</w:t>
      </w:r>
      <w:r>
        <w:br/>
      </w:r>
      <w:r>
        <w:t xml:space="preserve">This document constitutes a binding Purchase Order for Architect services. All references to Venezuela and Caracas pertain to the jurisdiction and location of project execution.</w:t>
      </w:r>
      <w:r>
        <w:br/>
      </w:r>
      <w:r>
        <w:t xml:space="preserve">© 2025 Construcciones del Este, 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Venezuela Caracas</dc:title>
  <dc:creator/>
  <dc:language>en</dc:language>
  <cp:keywords/>
  <dcterms:created xsi:type="dcterms:W3CDTF">2026-10-10T04:33:03Z</dcterms:created>
  <dcterms:modified xsi:type="dcterms:W3CDTF">2026-10-10T04:33:03Z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