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Australia</w:t>
      </w:r>
      <w:r>
        <w:t xml:space="preserve"> </w:t>
      </w:r>
      <w:r>
        <w:t xml:space="preserve">Brisbane</w:t>
      </w:r>
    </w:p>
    <w:bookmarkStart w:id="20" w:name="purchase-order"/>
    <w:p>
      <w:pPr>
        <w:pStyle w:val="Heading1"/>
      </w:pPr>
      <w:r>
        <w:t xml:space="preserve">PURCHASE ORDER</w:t>
      </w:r>
    </w:p>
    <w:p>
      <w:pPr>
        <w:pStyle w:val="FirstParagraph"/>
      </w:pPr>
      <w:r>
        <w:t xml:space="preserve">Professional Auditor Services — Australia Brisbane</w:t>
      </w:r>
    </w:p>
    <w:p>
      <w:pPr>
        <w:pStyle w:val="BodyText"/>
      </w:pPr>
      <w:r>
        <w:t xml:space="preserve">PO No: PO-2025-BNE-04782</w:t>
      </w:r>
    </w:p>
    <w:bookmarkEnd w:id="20"/>
    <w:p>
      <w:pPr>
        <w:pStyle w:val="BodyText"/>
      </w:pPr>
      <w:r>
        <w:rPr>
          <w:bCs/>
          <w:b/>
        </w:rPr>
        <w:t xml:space="preserve">Date of Issue:</w:t>
      </w:r>
      <w:r>
        <w:t xml:space="preserve"> </w:t>
      </w:r>
      <w:r>
        <w:t xml:space="preserve">14 June 2025</w:t>
      </w:r>
      <w:r>
        <w:br/>
      </w:r>
      <w:r>
        <w:rPr>
          <w:bCs/>
          <w:b/>
        </w:rPr>
        <w:t xml:space="preserve">Required By:</w:t>
      </w:r>
      <w:r>
        <w:t xml:space="preserve"> </w:t>
      </w:r>
      <w:r>
        <w:t xml:space="preserve">30 September 2025</w:t>
      </w:r>
      <w:r>
        <w:br/>
      </w:r>
      <w:r>
        <w:rPr>
          <w:bCs/>
          <w:b/>
        </w:rPr>
        <w:t xml:space="preserve">Currency:</w:t>
      </w:r>
      <w:r>
        <w:t xml:space="preserve"> </w:t>
      </w:r>
      <w:r>
        <w:t xml:space="preserve">Australian Dollar (AUD)</w:t>
      </w:r>
    </w:p>
    <w:p>
      <w:pPr>
        <w:pStyle w:val="BodyText"/>
      </w:pPr>
      <w:r>
        <w:rPr>
          <w:bCs/>
          <w:b/>
        </w:rPr>
        <w:t xml:space="preserve">Payment Terms:</w:t>
      </w:r>
      <w:r>
        <w:t xml:space="preserve"> </w:t>
      </w:r>
      <w:r>
        <w:t xml:space="preserve">Net 30 Days</w:t>
      </w:r>
      <w:r>
        <w:br/>
      </w:r>
      <w:r>
        <w:rPr>
          <w:bCs/>
          <w:b/>
        </w:rPr>
        <w:t xml:space="preserve">Delivery Location:</w:t>
      </w:r>
      <w:r>
        <w:t xml:space="preserve"> </w:t>
      </w:r>
      <w:r>
        <w:t xml:space="preserve">Brisbane, Queensland, Australia</w:t>
      </w:r>
      <w:r>
        <w:br/>
      </w:r>
      <w:r>
        <w:rPr>
          <w:bCs/>
          <w:b/>
        </w:rPr>
        <w:t xml:space="preserve">Governing Law:</w:t>
      </w:r>
      <w:r>
        <w:t xml:space="preserve"> </w:t>
      </w:r>
      <w:r>
        <w:t xml:space="preserve">State of Queensland, Australia</w:t>
      </w:r>
    </w:p>
    <w:bookmarkStart w:id="21" w:name="purchasing-entity-buyer"/>
    <w:p>
      <w:pPr>
        <w:pStyle w:val="Heading2"/>
      </w:pPr>
      <w:r>
        <w:t xml:space="preserve">1.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Southern Cross Financial Holdings Pty Ltd</w:t>
            </w:r>
          </w:p>
        </w:tc>
      </w:tr>
      <w:tr>
        <w:tc>
          <w:tcPr/>
          <w:p>
            <w:pPr>
              <w:pStyle w:val="Compact"/>
              <w:jc w:val="left"/>
            </w:pPr>
            <w:r>
              <w:t xml:space="preserve">ABN</w:t>
            </w:r>
          </w:p>
        </w:tc>
        <w:tc>
          <w:tcPr/>
          <w:p>
            <w:pPr>
              <w:pStyle w:val="Compact"/>
              <w:jc w:val="left"/>
            </w:pPr>
            <w:r>
              <w:t xml:space="preserve">52 847 391 206</w:t>
            </w:r>
          </w:p>
        </w:tc>
      </w:tr>
      <w:tr>
        <w:tc>
          <w:tcPr/>
          <w:p>
            <w:pPr>
              <w:pStyle w:val="Compact"/>
              <w:jc w:val="left"/>
            </w:pPr>
            <w:r>
              <w:t xml:space="preserve">Registered Address</w:t>
            </w:r>
          </w:p>
        </w:tc>
        <w:tc>
          <w:tcPr/>
          <w:p>
            <w:pPr>
              <w:pStyle w:val="Compact"/>
              <w:jc w:val="left"/>
            </w:pPr>
            <w:r>
              <w:t xml:space="preserve">Suite 1402, Level 14, 125 Creek Street, Brisbane, Queensland 4000, Australia</w:t>
            </w:r>
          </w:p>
        </w:tc>
      </w:tr>
      <w:tr>
        <w:tc>
          <w:tcPr/>
          <w:p>
            <w:pPr>
              <w:pStyle w:val="Compact"/>
              <w:jc w:val="left"/>
            </w:pPr>
            <w:r>
              <w:t xml:space="preserve">Contact Person</w:t>
            </w:r>
          </w:p>
        </w:tc>
        <w:tc>
          <w:tcPr/>
          <w:p>
            <w:pPr>
              <w:pStyle w:val="Compact"/>
              <w:jc w:val="left"/>
            </w:pPr>
            <w:r>
              <w:t xml:space="preserve">Ms. Eleanor Whitfield, Chief Financial Officer</w:t>
            </w:r>
          </w:p>
        </w:tc>
      </w:tr>
      <w:tr>
        <w:tc>
          <w:tcPr/>
          <w:p>
            <w:pPr>
              <w:pStyle w:val="Compact"/>
              <w:jc w:val="left"/>
            </w:pPr>
            <w:r>
              <w:t xml:space="preserve">Email / Phone</w:t>
            </w:r>
          </w:p>
        </w:tc>
        <w:tc>
          <w:tcPr/>
          <w:p>
            <w:pPr>
              <w:pStyle w:val="Compact"/>
              <w:jc w:val="left"/>
            </w:pPr>
            <w:r>
              <w:t xml:space="preserve">e.whitfield@southerncrossfh.com.au / +61 7 3210 4455</w:t>
            </w:r>
          </w:p>
        </w:tc>
      </w:tr>
    </w:tbl>
    <w:bookmarkEnd w:id="21"/>
    <w:bookmarkStart w:id="22" w:name="supplier-service-provider-auditor"/>
    <w:p>
      <w:pPr>
        <w:pStyle w:val="Heading2"/>
      </w:pPr>
      <w:r>
        <w:t xml:space="preserve">2. Supplier / Service Provider (Auditor)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Firm Name</w:t>
            </w:r>
          </w:p>
        </w:tc>
        <w:tc>
          <w:tcPr/>
          <w:p>
            <w:pPr>
              <w:pStyle w:val="Compact"/>
              <w:jc w:val="left"/>
            </w:pPr>
            <w:r>
              <w:t xml:space="preserve">Brisbane Assurance &amp; Audit Partners (BAAP)</w:t>
            </w:r>
          </w:p>
        </w:tc>
      </w:tr>
      <w:tr>
        <w:tc>
          <w:tcPr/>
          <w:p>
            <w:pPr>
              <w:pStyle w:val="Compact"/>
              <w:jc w:val="left"/>
            </w:pPr>
            <w:r>
              <w:t xml:space="preserve">ABN</w:t>
            </w:r>
          </w:p>
        </w:tc>
        <w:tc>
          <w:tcPr/>
          <w:p>
            <w:pPr>
              <w:pStyle w:val="Compact"/>
              <w:jc w:val="left"/>
            </w:pPr>
            <w:r>
              <w:t xml:space="preserve">71 203 558 914</w:t>
            </w:r>
          </w:p>
        </w:tc>
      </w:tr>
      <w:tr>
        <w:tc>
          <w:tcPr/>
          <w:p>
            <w:pPr>
              <w:pStyle w:val="Compact"/>
              <w:jc w:val="left"/>
            </w:pPr>
            <w:r>
              <w:t xml:space="preserve">APRA Licence No.</w:t>
            </w:r>
          </w:p>
        </w:tc>
        <w:tc>
          <w:tcPr/>
          <w:p>
            <w:pPr>
              <w:pStyle w:val="Compact"/>
              <w:jc w:val="left"/>
            </w:pPr>
            <w:r>
              <w:t xml:space="preserve">AUD-QLD-2019-00347</w:t>
            </w:r>
          </w:p>
        </w:tc>
      </w:tr>
      <w:tr>
        <w:tc>
          <w:tcPr/>
          <w:p>
            <w:pPr>
              <w:pStyle w:val="Compact"/>
              <w:jc w:val="left"/>
            </w:pPr>
            <w:r>
              <w:t xml:space="preserve">Office Address</w:t>
            </w:r>
          </w:p>
        </w:tc>
        <w:tc>
          <w:tcPr/>
          <w:p>
            <w:pPr>
              <w:pStyle w:val="Compact"/>
              <w:jc w:val="left"/>
            </w:pPr>
            <w:r>
              <w:t xml:space="preserve">Level 8, 400 George Street, Brisbane, Queensland 4000, Australia</w:t>
            </w:r>
          </w:p>
        </w:tc>
      </w:tr>
      <w:tr>
        <w:tc>
          <w:tcPr/>
          <w:p>
            <w:pPr>
              <w:pStyle w:val="Compact"/>
              <w:jc w:val="left"/>
            </w:pPr>
            <w:r>
              <w:t xml:space="preserve">Lead Auditor</w:t>
            </w:r>
          </w:p>
        </w:tc>
        <w:tc>
          <w:tcPr/>
          <w:p>
            <w:pPr>
              <w:pStyle w:val="Compact"/>
              <w:jc w:val="left"/>
            </w:pPr>
            <w:r>
              <w:t xml:space="preserve">Mr. James Okafor, CPA (Australia), Chartered Accountant</w:t>
            </w:r>
          </w:p>
        </w:tc>
      </w:tr>
      <w:tr>
        <w:tc>
          <w:tcPr/>
          <w:p>
            <w:pPr>
              <w:pStyle w:val="Compact"/>
              <w:jc w:val="left"/>
            </w:pPr>
            <w:r>
              <w:t xml:space="preserve">Email / Phone</w:t>
            </w:r>
          </w:p>
        </w:tc>
        <w:tc>
          <w:tcPr/>
          <w:p>
            <w:pPr>
              <w:pStyle w:val="Compact"/>
              <w:jc w:val="left"/>
            </w:pPr>
            <w:r>
              <w:t xml:space="preserve">j.okafor@baap.com.au / +61 7 3100 7788</w:t>
            </w:r>
          </w:p>
        </w:tc>
      </w:tr>
    </w:tbl>
    <w:bookmarkEnd w:id="22"/>
    <w:bookmarkStart w:id="23" w:name="scope-of-auditor-services"/>
    <w:p>
      <w:pPr>
        <w:pStyle w:val="Heading2"/>
      </w:pPr>
      <w:r>
        <w:t xml:space="preserve">3. Scope of Auditor Services</w:t>
      </w:r>
    </w:p>
    <w:p>
      <w:pPr>
        <w:pStyle w:val="FirstParagraph"/>
      </w:pPr>
      <w:r>
        <w:t xml:space="preserve">This Purchase Order authorises the engagement of the named Auditor firm to perform a comprehensive statutory and internal audit of Southern Cross Financial Holdings Pty Ltd for the financial year ending 30 June 2025. The Auditor shall operate in accordance with the Australian Standards on Auditing (ASAs) issued by the Australian Auditing and Assurance Standards Board (AUASB), the Corporations Act 2001 (Cth), and all applicable regulations of the Australian Securities and Investments Commission (ASIC). The Auditor is required to conduct all fieldwork, interviews, and on-site inspections within the Brisbane metropolitan area, Queensland, Australia, unless otherwise agreed in writing.</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Auditor Service</w:t>
            </w:r>
          </w:p>
        </w:tc>
        <w:tc>
          <w:tcPr/>
          <w:p>
            <w:pPr>
              <w:pStyle w:val="Compact"/>
              <w:jc w:val="left"/>
            </w:pPr>
            <w:r>
              <w:t xml:space="preserve">Qty</w:t>
            </w:r>
          </w:p>
        </w:tc>
        <w:tc>
          <w:tcPr/>
          <w:p>
            <w:pPr>
              <w:pStyle w:val="Compact"/>
              <w:jc w:val="left"/>
            </w:pPr>
            <w:r>
              <w:t xml:space="preserve">Unit 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Statutory Financial Statement Audit (FY 2024–2025) including balance sheet, income statement, and cash flow verification</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2</w:t>
            </w:r>
          </w:p>
        </w:tc>
        <w:tc>
          <w:tcPr/>
          <w:p>
            <w:pPr>
              <w:pStyle w:val="Compact"/>
              <w:jc w:val="left"/>
            </w:pPr>
            <w:r>
              <w:t xml:space="preserve">Internal Controls Assessment and Risk-Based Audit of Brisbane Operations Division</w:t>
            </w:r>
          </w:p>
        </w:tc>
        <w:tc>
          <w:tcPr/>
          <w:p>
            <w:pPr>
              <w:pStyle w:val="Compact"/>
              <w:jc w:val="left"/>
            </w:pPr>
            <w:r>
              <w:t xml:space="preserve">1</w:t>
            </w:r>
          </w:p>
        </w:tc>
        <w:tc>
          <w:tcPr/>
          <w:p>
            <w:pPr>
              <w:pStyle w:val="Compact"/>
              <w:jc w:val="left"/>
            </w:pPr>
            <w:r>
              <w:t xml:space="preserve">$22,750.00</w:t>
            </w:r>
          </w:p>
        </w:tc>
        <w:tc>
          <w:tcPr/>
          <w:p>
            <w:pPr>
              <w:pStyle w:val="Compact"/>
              <w:jc w:val="left"/>
            </w:pPr>
            <w:r>
              <w:t xml:space="preserve">$22,750.00</w:t>
            </w:r>
          </w:p>
        </w:tc>
      </w:tr>
      <w:tr>
        <w:tc>
          <w:tcPr/>
          <w:p>
            <w:pPr>
              <w:pStyle w:val="Compact"/>
              <w:jc w:val="left"/>
            </w:pPr>
            <w:r>
              <w:t xml:space="preserve">3</w:t>
            </w:r>
          </w:p>
        </w:tc>
        <w:tc>
          <w:tcPr/>
          <w:p>
            <w:pPr>
              <w:pStyle w:val="Compact"/>
              <w:jc w:val="left"/>
            </w:pPr>
            <w:r>
              <w:t xml:space="preserve">Compliance Audit under ASIC Regulatory Framework and Queensland Fair Trading Act 2011</w:t>
            </w:r>
          </w:p>
        </w:tc>
        <w:tc>
          <w:tcPr/>
          <w:p>
            <w:pPr>
              <w:pStyle w:val="Compact"/>
              <w:jc w:val="left"/>
            </w:pPr>
            <w:r>
              <w:t xml:space="preserve">1</w:t>
            </w:r>
          </w:p>
        </w:tc>
        <w:tc>
          <w:tcPr/>
          <w:p>
            <w:pPr>
              <w:pStyle w:val="Compact"/>
              <w:jc w:val="left"/>
            </w:pPr>
            <w:r>
              <w:t xml:space="preserve">$15,300.00</w:t>
            </w:r>
          </w:p>
        </w:tc>
        <w:tc>
          <w:tcPr/>
          <w:p>
            <w:pPr>
              <w:pStyle w:val="Compact"/>
              <w:jc w:val="left"/>
            </w:pPr>
            <w:r>
              <w:t xml:space="preserve">$15,300.00</w:t>
            </w:r>
          </w:p>
        </w:tc>
      </w:tr>
      <w:tr>
        <w:tc>
          <w:tcPr/>
          <w:p>
            <w:pPr>
              <w:pStyle w:val="Compact"/>
              <w:jc w:val="left"/>
            </w:pPr>
            <w:r>
              <w:t xml:space="preserve">4</w:t>
            </w:r>
          </w:p>
        </w:tc>
        <w:tc>
          <w:tcPr/>
          <w:p>
            <w:pPr>
              <w:pStyle w:val="Compact"/>
              <w:jc w:val="left"/>
            </w:pPr>
            <w:r>
              <w:t xml:space="preserve">IT Systems and Data Integrity Audit (Brisbane Head Office Servers and Cloud Infrastructure)</w:t>
            </w:r>
          </w:p>
        </w:tc>
        <w:tc>
          <w:tcPr/>
          <w:p>
            <w:pPr>
              <w:pStyle w:val="Compact"/>
              <w:jc w:val="left"/>
            </w:pPr>
            <w:r>
              <w:t xml:space="preserve">1</w:t>
            </w:r>
          </w:p>
        </w:tc>
        <w:tc>
          <w:tcPr/>
          <w:p>
            <w:pPr>
              <w:pStyle w:val="Compact"/>
              <w:jc w:val="left"/>
            </w:pPr>
            <w:r>
              <w:t xml:space="preserve">$12,900.00</w:t>
            </w:r>
          </w:p>
        </w:tc>
        <w:tc>
          <w:tcPr/>
          <w:p>
            <w:pPr>
              <w:pStyle w:val="Compact"/>
              <w:jc w:val="left"/>
            </w:pPr>
            <w:r>
              <w:t xml:space="preserve">$12,900.00</w:t>
            </w:r>
          </w:p>
        </w:tc>
      </w:tr>
      <w:tr>
        <w:tc>
          <w:tcPr/>
          <w:p>
            <w:pPr>
              <w:pStyle w:val="Compact"/>
              <w:jc w:val="left"/>
            </w:pPr>
            <w:r>
              <w:t xml:space="preserve">5</w:t>
            </w:r>
          </w:p>
        </w:tc>
        <w:tc>
          <w:tcPr/>
          <w:p>
            <w:pPr>
              <w:pStyle w:val="Compact"/>
              <w:jc w:val="left"/>
            </w:pPr>
            <w:r>
              <w:t xml:space="preserve">Management Letter, Audit Report, and Follow-Up Consultation (up to 3 sessions in Brisbane)</w:t>
            </w:r>
          </w:p>
        </w:tc>
        <w:tc>
          <w:tcPr/>
          <w:p>
            <w:pPr>
              <w:pStyle w:val="Compact"/>
              <w:jc w:val="left"/>
            </w:pPr>
            <w:r>
              <w:t xml:space="preserve">1</w:t>
            </w:r>
          </w:p>
        </w:tc>
        <w:tc>
          <w:tcPr/>
          <w:p>
            <w:pPr>
              <w:pStyle w:val="Compact"/>
              <w:jc w:val="left"/>
            </w:pPr>
            <w:r>
              <w:t xml:space="preserve">$6,550.00</w:t>
            </w:r>
          </w:p>
        </w:tc>
        <w:tc>
          <w:tcPr/>
          <w:p>
            <w:pPr>
              <w:pStyle w:val="Compact"/>
              <w:jc w:val="left"/>
            </w:pPr>
            <w:r>
              <w:t xml:space="preserve">$6,550.00</w:t>
            </w:r>
          </w:p>
        </w:tc>
      </w:tr>
      <w:tr>
        <w:tc>
          <w:tcPr/>
          <w:p>
            <w:pPr>
              <w:pStyle w:val="Compact"/>
              <w:jc w:val="left"/>
            </w:pPr>
            <w:r>
              <w:t xml:space="preserve">6</w:t>
            </w:r>
          </w:p>
        </w:tc>
        <w:tc>
          <w:tcPr/>
          <w:p>
            <w:pPr>
              <w:pStyle w:val="Compact"/>
              <w:jc w:val="left"/>
            </w:pPr>
            <w:r>
              <w:t xml:space="preserve">Travel, Accommodation, and On-Site Expenses within Greater Brisbane, Queensland</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gridSpan w:val="4"/>
          </w:tcPr>
          <w:p>
            <w:pPr>
              <w:pStyle w:val="Compact"/>
              <w:jc w:val="right"/>
            </w:pPr>
            <w:r>
              <w:t xml:space="preserve">Subtotal (AUD)</w:t>
            </w:r>
          </w:p>
        </w:tc>
        <w:tc>
          <w:tcPr/>
          <w:p>
            <w:pPr>
              <w:pStyle w:val="Compact"/>
              <w:jc w:val="left"/>
            </w:pPr>
            <w:r>
              <w:t xml:space="preserve">$109,200.00</w:t>
            </w:r>
          </w:p>
        </w:tc>
      </w:tr>
      <w:tr>
        <w:tc>
          <w:tcPr>
            <w:gridSpan w:val="4"/>
          </w:tcPr>
          <w:p>
            <w:pPr>
              <w:pStyle w:val="Compact"/>
              <w:jc w:val="right"/>
            </w:pPr>
            <w:r>
              <w:t xml:space="preserve">GST (10%)</w:t>
            </w:r>
          </w:p>
        </w:tc>
        <w:tc>
          <w:tcPr/>
          <w:p>
            <w:pPr>
              <w:pStyle w:val="Compact"/>
              <w:jc w:val="left"/>
            </w:pPr>
            <w:r>
              <w:t xml:space="preserve">$10,920.00</w:t>
            </w:r>
          </w:p>
        </w:tc>
      </w:tr>
      <w:tr>
        <w:tc>
          <w:tcPr>
            <w:gridSpan w:val="4"/>
          </w:tcPr>
          <w:p>
            <w:pPr>
              <w:pStyle w:val="Compact"/>
              <w:jc w:val="right"/>
            </w:pPr>
            <w:r>
              <w:t xml:space="preserve">TOTAL PURCHASE ORDER VALUE (AUD)</w:t>
            </w:r>
          </w:p>
        </w:tc>
        <w:tc>
          <w:tcPr/>
          <w:p>
            <w:pPr>
              <w:pStyle w:val="Compact"/>
              <w:jc w:val="left"/>
            </w:pPr>
            <w:r>
              <w:t xml:space="preserve">$120,120.00</w:t>
            </w:r>
          </w:p>
        </w:tc>
      </w:tr>
    </w:tbl>
    <w:bookmarkEnd w:id="24"/>
    <w:bookmarkStart w:id="25" w:name="terms-and-conditions"/>
    <w:p>
      <w:pPr>
        <w:pStyle w:val="Heading2"/>
      </w:pPr>
      <w:r>
        <w:t xml:space="preserve">5. Terms and Conditions</w:t>
      </w:r>
    </w:p>
    <w:p>
      <w:pPr>
        <w:numPr>
          <w:ilvl w:val="0"/>
          <w:numId w:val="1001"/>
        </w:numPr>
        <w:pStyle w:val="Compact"/>
      </w:pPr>
      <w:r>
        <w:rPr>
          <w:bCs/>
          <w:b/>
        </w:rPr>
        <w:t xml:space="preserve">Acceptance:</w:t>
      </w:r>
      <w:r>
        <w:t xml:space="preserve"> </w:t>
      </w:r>
      <w:r>
        <w:t xml:space="preserve">This Purchase Order shall become a binding contract upon written acceptance by the Auditor firm. The Auditor must return a signed copy to the Purchasing Entity within five (5) business days of receipt.</w:t>
      </w:r>
    </w:p>
    <w:p>
      <w:pPr>
        <w:numPr>
          <w:ilvl w:val="0"/>
          <w:numId w:val="1001"/>
        </w:numPr>
        <w:pStyle w:val="Compact"/>
      </w:pPr>
      <w:r>
        <w:rPr>
          <w:bCs/>
          <w:b/>
        </w:rPr>
        <w:t xml:space="preserve">Performance Period:</w:t>
      </w:r>
      <w:r>
        <w:t xml:space="preserve"> </w:t>
      </w:r>
      <w:r>
        <w:t xml:space="preserve">The Auditor shall commence fieldwork no later than 1 July 2025 and deliver the final audit report no later than 30 September 2025. All work shall be performed primarily at the Brisbane, Queensland office of the Purchasing Entity.</w:t>
      </w:r>
    </w:p>
    <w:p>
      <w:pPr>
        <w:numPr>
          <w:ilvl w:val="0"/>
          <w:numId w:val="1001"/>
        </w:numPr>
        <w:pStyle w:val="Compact"/>
      </w:pPr>
      <w:r>
        <w:rPr>
          <w:bCs/>
          <w:b/>
        </w:rPr>
        <w:t xml:space="preserve">Independence and Ethics:</w:t>
      </w:r>
      <w:r>
        <w:t xml:space="preserve"> </w:t>
      </w:r>
      <w:r>
        <w:t xml:space="preserve">The Auditor must maintain strict independence in accordance with the Code of Ethics for Professional Accountants issued by the Australian Accounting Professional and Ethical Standards Board (APESB). Any conflict of interest must be disclosed in writing prior to commencement.</w:t>
      </w:r>
    </w:p>
    <w:p>
      <w:pPr>
        <w:numPr>
          <w:ilvl w:val="0"/>
          <w:numId w:val="1001"/>
        </w:numPr>
        <w:pStyle w:val="Compact"/>
      </w:pPr>
      <w:r>
        <w:rPr>
          <w:bCs/>
          <w:b/>
        </w:rPr>
        <w:t xml:space="preserve">Confidentiality:</w:t>
      </w:r>
      <w:r>
        <w:t xml:space="preserve"> </w:t>
      </w:r>
      <w:r>
        <w:t xml:space="preserve">The Auditor shall treat all financial records, proprietary data, and internal documents of the Purchasing Entity as strictly confidential. This obligation survives the termination of this Purchase Order for a period of five (5) years.</w:t>
      </w:r>
    </w:p>
    <w:p>
      <w:pPr>
        <w:numPr>
          <w:ilvl w:val="0"/>
          <w:numId w:val="1001"/>
        </w:numPr>
        <w:pStyle w:val="Compact"/>
      </w:pPr>
      <w:r>
        <w:rPr>
          <w:bCs/>
          <w:b/>
        </w:rPr>
        <w:t xml:space="preserve">Payment Schedule:</w:t>
      </w:r>
      <w:r>
        <w:t xml:space="preserve"> </w:t>
      </w:r>
      <w:r>
        <w:t xml:space="preserve">40% of the total Purchase Order value shall be due upon commencement of fieldwork. The remaining 60% shall be due within thirty (30) calendar days of delivery and acceptance of the final audit report. All payments shall be made via electronic funds transfer (EFT) to the bank account nominated by the Auditor in Australia.</w:t>
      </w:r>
    </w:p>
    <w:p>
      <w:pPr>
        <w:numPr>
          <w:ilvl w:val="0"/>
          <w:numId w:val="1001"/>
        </w:numPr>
        <w:pStyle w:val="Compact"/>
      </w:pPr>
      <w:r>
        <w:rPr>
          <w:bCs/>
          <w:b/>
        </w:rPr>
        <w:t xml:space="preserve">Dispute Resolution:</w:t>
      </w:r>
      <w:r>
        <w:t xml:space="preserve"> </w:t>
      </w:r>
      <w:r>
        <w:t xml:space="preserve">Any dispute arising from this Purchase Order shall first be subject to mediation under the Queensland Dispute Resolution Act 2022. If unresolved within thirty (30) days, the matter shall be referred to the courts of the State of Queensland, Australia, Brisbane jurisdiction.</w:t>
      </w:r>
    </w:p>
    <w:p>
      <w:pPr>
        <w:numPr>
          <w:ilvl w:val="0"/>
          <w:numId w:val="1001"/>
        </w:numPr>
        <w:pStyle w:val="Compact"/>
      </w:pPr>
      <w:r>
        <w:rPr>
          <w:bCs/>
          <w:b/>
        </w:rPr>
        <w:t xml:space="preserve">Termination:</w:t>
      </w:r>
      <w:r>
        <w:t xml:space="preserve"> </w:t>
      </w:r>
      <w:r>
        <w:t xml:space="preserve">Either party may terminate this Purchase Order with fourteen (14) days written notice. In the event of termination, the Auditor shall be compensated for all services rendered up to the date of termination, plus reasonable out-of-pocket expenses incurred in Brisbane.</w:t>
      </w:r>
    </w:p>
    <w:p>
      <w:pPr>
        <w:numPr>
          <w:ilvl w:val="0"/>
          <w:numId w:val="1001"/>
        </w:numPr>
        <w:pStyle w:val="Compact"/>
      </w:pPr>
      <w:r>
        <w:rPr>
          <w:bCs/>
          <w:b/>
        </w:rPr>
        <w:t xml:space="preserve">Insurance:</w:t>
      </w:r>
      <w:r>
        <w:t xml:space="preserve"> </w:t>
      </w:r>
      <w:r>
        <w:t xml:space="preserve">The Auditor must maintain professional indemnity insurance of no less than AUD $10,000,000 per claim throughout the duration of this engagement, with the Purchasing Entity named as an additional insured party.</w:t>
      </w:r>
    </w:p>
    <w:p>
      <w:pPr>
        <w:numPr>
          <w:ilvl w:val="0"/>
          <w:numId w:val="1001"/>
        </w:numPr>
        <w:pStyle w:val="Compact"/>
      </w:pPr>
      <w:r>
        <w:rPr>
          <w:bCs/>
          <w:b/>
        </w:rPr>
        <w:t xml:space="preserve">Compliance with Australian Law:</w:t>
      </w:r>
      <w:r>
        <w:t xml:space="preserve"> </w:t>
      </w:r>
      <w:r>
        <w:t xml:space="preserve">The Auditor warrants that all services rendered under this Purchase Order shall comply with the Corporations Act 2001 (Cth), the Australian Privacy Principles (APPs) under the Privacy Act 1988 (Cth), and all relevant Queensland state legislation applicable to professional audit services in Australia Brisbane.</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affecting the Brisbane region, government-mandated closures, or acts of God.</w:t>
      </w:r>
    </w:p>
    <w:bookmarkEnd w:id="25"/>
    <w:bookmarkStart w:id="26" w:name="authorisation-and-signatures"/>
    <w:p>
      <w:pPr>
        <w:pStyle w:val="Heading2"/>
      </w:pPr>
      <w:r>
        <w:t xml:space="preserve">6. Authorisation and Signatures</w:t>
      </w:r>
    </w:p>
    <w:p>
      <w:pPr>
        <w:pStyle w:val="FirstParagraph"/>
      </w:pPr>
      <w:r>
        <w:t xml:space="preserve">By signing below, both parties acknowledge and agree to all terms, conditions, and obligations set forth in this Purchase Order for Auditor services in Australia Brisbane.</w:t>
      </w:r>
    </w:p>
    <w:bookmarkEnd w:id="26"/>
    <w:p>
      <w:pPr>
        <w:pStyle w:val="BodyText"/>
      </w:pPr>
      <w:r>
        <w:rPr>
          <w:bCs/>
          <w:b/>
        </w:rPr>
        <w:t xml:space="preserve">For and on behalf of the Purchasing Entity:</w:t>
      </w:r>
    </w:p>
    <w:p>
      <w:pPr>
        <w:pStyle w:val="BodyText"/>
      </w:pPr>
      <w:r>
        <w:t xml:space="preserve">Southern Cross Financial Holdings Pty Ltd</w:t>
      </w:r>
    </w:p>
    <w:p>
      <w:pPr>
        <w:pStyle w:val="BodyText"/>
      </w:pPr>
      <w:r>
        <w:t xml:space="preserve">Ms. Eleanor Whitfield</w:t>
      </w:r>
      <w:r>
        <w:br/>
      </w:r>
      <w:r>
        <w:t xml:space="preserve">Chief Financial Officer</w:t>
      </w:r>
      <w:r>
        <w:br/>
      </w:r>
      <w:r>
        <w:t xml:space="preserve">Date: _______________</w:t>
      </w:r>
    </w:p>
    <w:p>
      <w:pPr>
        <w:pStyle w:val="BodyText"/>
      </w:pPr>
      <w:r>
        <w:rPr>
          <w:bCs/>
          <w:b/>
        </w:rPr>
        <w:t xml:space="preserve">For and on behalf of the Auditor:</w:t>
      </w:r>
    </w:p>
    <w:p>
      <w:pPr>
        <w:pStyle w:val="BodyText"/>
      </w:pPr>
      <w:r>
        <w:t xml:space="preserve">Brisbane Assurance &amp; Audit Partners</w:t>
      </w:r>
    </w:p>
    <w:p>
      <w:pPr>
        <w:pStyle w:val="BodyText"/>
      </w:pPr>
      <w:r>
        <w:t xml:space="preserve">Mr. James Okafor, CPA (Australia)</w:t>
      </w:r>
      <w:r>
        <w:br/>
      </w:r>
      <w:r>
        <w:t xml:space="preserve">Lead Auditor / Engagement Partner</w:t>
      </w:r>
      <w:r>
        <w:br/>
      </w:r>
      <w:r>
        <w:t xml:space="preserve">Date: _______________</w:t>
      </w:r>
    </w:p>
    <w:p>
      <w:pPr>
        <w:pStyle w:val="BodyText"/>
      </w:pPr>
      <w:r>
        <w:t xml:space="preserve">This Purchase Order (PO-2025-BNE-04782) is issued by Southern Cross Financial Holdings Pty Ltd, Brisbane, Queensland, Australia. All references to "Australia Brisbane" in this document denote the geographic and legal jurisdiction of performance. This document is governed by the laws of the State of Queensland, Australia. © 2025 Southern Cross Financial Holdings Pty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Auditor Services - Australia Brisbane</dc:title>
  <dc:creator/>
  <dc:language>en</dc:language>
  <cp:keywords/>
  <dcterms:created xsi:type="dcterms:W3CDTF">2026-10-10T03:32:04Z</dcterms:created>
  <dcterms:modified xsi:type="dcterms:W3CDTF">2026-10-10T03:32:04Z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