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Auditor Services — Colombia Bogotá</w:t>
      </w:r>
    </w:p>
    <w:p>
      <w:pPr>
        <w:pStyle w:val="BodyText"/>
      </w:pPr>
      <w:r>
        <w:t xml:space="preserve">PO No. CBG-2025-0047-AUD</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Grupo Financiero Andino S.A.</w:t>
      </w:r>
    </w:p>
    <w:p>
      <w:pPr>
        <w:pStyle w:val="BodyText"/>
      </w:pPr>
      <w:r>
        <w:rPr>
          <w:bCs/>
          <w:b/>
        </w:rPr>
        <w:t xml:space="preserve">NIT:</w:t>
      </w:r>
      <w:r>
        <w:t xml:space="preserve"> </w:t>
      </w:r>
      <w:r>
        <w:t xml:space="preserve">900.456.789-1</w:t>
      </w:r>
    </w:p>
    <w:p>
      <w:pPr>
        <w:pStyle w:val="BodyText"/>
      </w:pPr>
      <w:r>
        <w:rPr>
          <w:bCs/>
          <w:b/>
        </w:rPr>
        <w:t xml:space="preserve">Address:</w:t>
      </w:r>
      <w:r>
        <w:t xml:space="preserve"> </w:t>
      </w:r>
      <w:r>
        <w:t xml:space="preserve">Av. El Poblado #19A-35, Of. 1201</w:t>
      </w:r>
    </w:p>
    <w:p>
      <w:pPr>
        <w:pStyle w:val="BodyText"/>
      </w:pPr>
      <w:r>
        <w:rPr>
          <w:bCs/>
          <w:b/>
        </w:rPr>
        <w:t xml:space="preserve">City:</w:t>
      </w:r>
      <w:r>
        <w:t xml:space="preserve"> </w:t>
      </w:r>
      <w:r>
        <w:t xml:space="preserve">Bogotá, D.C., Colombia</w:t>
      </w:r>
    </w:p>
    <w:p>
      <w:pPr>
        <w:pStyle w:val="BodyText"/>
      </w:pPr>
      <w:r>
        <w:rPr>
          <w:bCs/>
          <w:b/>
        </w:rPr>
        <w:t xml:space="preserve">Contact:</w:t>
      </w:r>
      <w:r>
        <w:t xml:space="preserve"> </w:t>
      </w:r>
      <w:r>
        <w:t xml:space="preserve">procurement@grupofinancieroandino.co</w:t>
      </w:r>
    </w:p>
    <w:p>
      <w:pPr>
        <w:pStyle w:val="BodyText"/>
      </w:pPr>
      <w:r>
        <w:rPr>
          <w:bCs/>
          <w:b/>
        </w:rPr>
        <w:t xml:space="preserve">Phone:</w:t>
      </w:r>
      <w:r>
        <w:t xml:space="preserve"> </w:t>
      </w:r>
      <w:r>
        <w:t xml:space="preserve">+57 (601) 555 8920</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Firma de Auditoría Integral del Caribe Ltda.</w:t>
      </w:r>
    </w:p>
    <w:p>
      <w:pPr>
        <w:pStyle w:val="BodyText"/>
      </w:pPr>
      <w:r>
        <w:rPr>
          <w:bCs/>
          <w:b/>
        </w:rPr>
        <w:t xml:space="preserve">NIT:</w:t>
      </w:r>
      <w:r>
        <w:t xml:space="preserve"> </w:t>
      </w:r>
      <w:r>
        <w:t xml:space="preserve">830.123.456-7</w:t>
      </w:r>
    </w:p>
    <w:p>
      <w:pPr>
        <w:pStyle w:val="BodyText"/>
      </w:pPr>
      <w:r>
        <w:rPr>
          <w:bCs/>
          <w:b/>
        </w:rPr>
        <w:t xml:space="preserve">Address:</w:t>
      </w:r>
      <w:r>
        <w:t xml:space="preserve"> </w:t>
      </w:r>
      <w:r>
        <w:t xml:space="preserve">Calle 100 #15-40, Torre B, Piso 8</w:t>
      </w:r>
    </w:p>
    <w:p>
      <w:pPr>
        <w:pStyle w:val="BodyText"/>
      </w:pPr>
      <w:r>
        <w:rPr>
          <w:bCs/>
          <w:b/>
        </w:rPr>
        <w:t xml:space="preserve">City:</w:t>
      </w:r>
      <w:r>
        <w:t xml:space="preserve"> </w:t>
      </w:r>
      <w:r>
        <w:t xml:space="preserve">Bogotá, D.C., Colombia</w:t>
      </w:r>
    </w:p>
    <w:p>
      <w:pPr>
        <w:pStyle w:val="BodyText"/>
      </w:pPr>
      <w:r>
        <w:rPr>
          <w:bCs/>
          <w:b/>
        </w:rPr>
        <w:t xml:space="preserve">Contact:</w:t>
      </w:r>
      <w:r>
        <w:t xml:space="preserve"> </w:t>
      </w:r>
      <w:r>
        <w:t xml:space="preserve">contracts@auditoriacaribe.co</w:t>
      </w:r>
    </w:p>
    <w:p>
      <w:pPr>
        <w:pStyle w:val="BodyText"/>
      </w:pPr>
      <w:r>
        <w:rPr>
          <w:bCs/>
          <w:b/>
        </w:rPr>
        <w:t xml:space="preserve">Phone:</w:t>
      </w:r>
      <w:r>
        <w:t xml:space="preserve"> </w:t>
      </w:r>
      <w:r>
        <w:t xml:space="preserve">+57 (601) 744 3310</w:t>
      </w:r>
    </w:p>
    <w:bookmarkEnd w:id="22"/>
    <w:p>
      <w:pPr>
        <w:pStyle w:val="BodyText"/>
      </w:pPr>
      <w:r>
        <w:t xml:space="preserve">Description of Purchase Order — Auditor Engagement</w:t>
      </w:r>
    </w:p>
    <w:p>
      <w:pPr>
        <w:pStyle w:val="BodyText"/>
      </w:pPr>
      <w:r>
        <w:t xml:space="preserve">This</w:t>
      </w:r>
      <w:r>
        <w:t xml:space="preserve"> </w:t>
      </w:r>
      <w:r>
        <w:t xml:space="preserve">Purchase Order</w:t>
      </w:r>
      <w:r>
        <w:t xml:space="preserve"> </w:t>
      </w:r>
      <w:r>
        <w:t xml:space="preserve">is issued by Grupo Financiero Andino S.A. to formally request and authorize the procurement of professional</w:t>
      </w:r>
      <w:r>
        <w:t xml:space="preserve"> </w:t>
      </w:r>
      <w:r>
        <w:t xml:space="preserve">Auditor</w:t>
      </w:r>
      <w:r>
        <w:t xml:space="preserve"> </w:t>
      </w:r>
      <w:r>
        <w:t xml:space="preserve">services to be rendered in</w:t>
      </w:r>
      <w:r>
        <w:t xml:space="preserve"> </w:t>
      </w:r>
      <w:r>
        <w:t xml:space="preserve">Colombia Bogotá</w:t>
      </w:r>
      <w:r>
        <w:t xml:space="preserve">. The engagement encompasses a comprehensive financial, operational, and compliance audit of the company's fiscal year 2024 operations, conducted in strict accordance with the International Standards on Auditing (ISA), the Colombian General Accounting Standards (NIC/IFRS), and the regulatory requirements established by the Superintendencia Financiera de Colombia and the Superintendencia de Sociedades. The</w:t>
      </w:r>
      <w:r>
        <w:t xml:space="preserve"> </w:t>
      </w:r>
      <w:r>
        <w:t xml:space="preserve">Auditor</w:t>
      </w:r>
      <w:r>
        <w:t xml:space="preserve"> </w:t>
      </w:r>
      <w:r>
        <w:t xml:space="preserve">shall perform all fieldwork, analytical procedures, and reporting activities within the metropolitan area of</w:t>
      </w:r>
      <w:r>
        <w:t xml:space="preserve"> </w:t>
      </w:r>
      <w:r>
        <w:t xml:space="preserve">Colombia Bogotá</w:t>
      </w:r>
      <w:r>
        <w:t xml:space="preserve">, with primary access to the company's headquarters located on Avenida El Poblado.</w:t>
      </w:r>
    </w:p>
    <w:p>
      <w:pPr>
        <w:pStyle w:val="BodyText"/>
      </w:pPr>
      <w:r>
        <w:t xml:space="preserve">Line Items — Scope of Auditor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Financial Statement Audit — Full-year 2024 balance sheet, income statement, cash flow, and equity statement review conducted by a certified Auditor in Colombia Bogotá</w:t>
            </w:r>
          </w:p>
        </w:tc>
        <w:tc>
          <w:tcPr/>
          <w:p>
            <w:pPr>
              <w:pStyle w:val="Compact"/>
              <w:jc w:val="left"/>
            </w:pPr>
            <w:r>
              <w:t xml:space="preserve">1 engagement (45 working days)</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Internal Controls Assessment — Evaluation of IT systems, segregation of duties, and risk management frameworks by the assigned Auditor team in Colombia Bogotá</w:t>
            </w:r>
          </w:p>
        </w:tc>
        <w:tc>
          <w:tcPr/>
          <w:p>
            <w:pPr>
              <w:pStyle w:val="Compact"/>
              <w:jc w:val="left"/>
            </w:pPr>
            <w:r>
              <w:t xml:space="preserve">1 engagement (20 working days)</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Tax Compliance Audit — Verification of VAT (IVA), income tax (Renta), and withholding tax filings in compliance with DIAN regulations applicable in Colombia Bogotá</w:t>
            </w:r>
          </w:p>
        </w:tc>
        <w:tc>
          <w:tcPr/>
          <w:p>
            <w:pPr>
              <w:pStyle w:val="Compact"/>
              <w:jc w:val="left"/>
            </w:pPr>
            <w:r>
              <w:t xml:space="preserve">1 engagement (15 working days)</w:t>
            </w:r>
          </w:p>
        </w:tc>
        <w:tc>
          <w:tcPr/>
          <w:p>
            <w:pPr>
              <w:pStyle w:val="Compact"/>
              <w:jc w:val="left"/>
            </w:pPr>
            <w:r>
              <w:t xml:space="preserve">15,750,000</w:t>
            </w:r>
          </w:p>
        </w:tc>
        <w:tc>
          <w:tcPr/>
          <w:p>
            <w:pPr>
              <w:pStyle w:val="Compact"/>
              <w:jc w:val="left"/>
            </w:pPr>
            <w:r>
              <w:t xml:space="preserve">15,750,000</w:t>
            </w:r>
          </w:p>
        </w:tc>
      </w:tr>
      <w:tr>
        <w:tc>
          <w:tcPr/>
          <w:p>
            <w:pPr>
              <w:pStyle w:val="Compact"/>
              <w:jc w:val="left"/>
            </w:pPr>
            <w:r>
              <w:t xml:space="preserve">04</w:t>
            </w:r>
          </w:p>
        </w:tc>
        <w:tc>
          <w:tcPr/>
          <w:p>
            <w:pPr>
              <w:pStyle w:val="Compact"/>
              <w:jc w:val="left"/>
            </w:pPr>
            <w:r>
              <w:t xml:space="preserve">Operational Efficiency Audit — Process mapping, cost-benefit analysis, and performance benchmarking of business units located in Colombia Bogotá</w:t>
            </w:r>
          </w:p>
        </w:tc>
        <w:tc>
          <w:tcPr/>
          <w:p>
            <w:pPr>
              <w:pStyle w:val="Compact"/>
              <w:jc w:val="left"/>
            </w:pPr>
            <w:r>
              <w:t xml:space="preserve">1 engagement (25 working days)</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Final Audit Report — Written deliverable including management letter, findings, recommendations, and opinion letter issued by the lead Auditor</w:t>
            </w:r>
          </w:p>
        </w:tc>
        <w:tc>
          <w:tcPr/>
          <w:p>
            <w:pPr>
              <w:pStyle w:val="Compact"/>
              <w:jc w:val="left"/>
            </w:pPr>
            <w:r>
              <w:t xml:space="preserve">1 report (10 working days)</w:t>
            </w:r>
          </w:p>
        </w:tc>
        <w:tc>
          <w:tcPr/>
          <w:p>
            <w:pPr>
              <w:pStyle w:val="Compact"/>
              <w:jc w:val="left"/>
            </w:pPr>
            <w:r>
              <w:t xml:space="preserve">8,250,000</w:t>
            </w:r>
          </w:p>
        </w:tc>
        <w:tc>
          <w:tcPr/>
          <w:p>
            <w:pPr>
              <w:pStyle w:val="Compact"/>
              <w:jc w:val="left"/>
            </w:pPr>
            <w:r>
              <w:t xml:space="preserve">8,250,000</w:t>
            </w:r>
          </w:p>
        </w:tc>
      </w:tr>
    </w:tbl>
    <w:p>
      <w:pPr>
        <w:pStyle w:val="BodyText"/>
      </w:pPr>
      <w:r>
        <w:t xml:space="preserve">Subtotal: COP 122,500,000</w:t>
      </w:r>
    </w:p>
    <w:p>
      <w:pPr>
        <w:pStyle w:val="BodyText"/>
      </w:pPr>
      <w:r>
        <w:t xml:space="preserve">VAT (IVA) 19%: COP 23,275,000</w:t>
      </w:r>
    </w:p>
    <w:p>
      <w:pPr>
        <w:pStyle w:val="BodyText"/>
      </w:pPr>
      <w:r>
        <w:t xml:space="preserve">Grand Total: COP 145,775,000</w:t>
      </w:r>
    </w:p>
    <w:p>
      <w:pPr>
        <w:pStyle w:val="BodyText"/>
      </w:pPr>
      <w:r>
        <w:t xml:space="preserve">(One Hundred Forty-Five Million Seven Hundred Seventy-Five Thousand Colombian Pesos)</w:t>
      </w:r>
    </w:p>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Colombia and applicable regulations of the Republic of Colombia. Any disputes arising from this Purchase Order regarding the Auditor engagement shall be resolved in the competent courts of Colombia Bogotá, D.C.</w:t>
      </w:r>
    </w:p>
    <w:p>
      <w:pPr>
        <w:numPr>
          <w:ilvl w:val="0"/>
          <w:numId w:val="1001"/>
        </w:numPr>
        <w:pStyle w:val="Compact"/>
      </w:pPr>
      <w:r>
        <w:rPr>
          <w:bCs/>
          <w:b/>
        </w:rPr>
        <w:t xml:space="preserve">Service Location:</w:t>
      </w:r>
      <w:r>
        <w:t xml:space="preserve"> </w:t>
      </w:r>
      <w:r>
        <w:t xml:space="preserve">All Auditor fieldwork, interviews, document reviews, and on-site inspections shall be conducted at the premises of the Purchasing Entity in Colombia Bogotá, unless otherwise agreed in writing. The Auditor and their support team shall comply with all local labor and safety regulations applicable in the city of Bogotá.</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40% upon completion of fieldwork, and 20% upon delivery and acceptance of the final Auditor report. All payments shall be made via bank transfer to the account designated by the Vendor in Colombia Bogotá.</w:t>
      </w:r>
    </w:p>
    <w:p>
      <w:pPr>
        <w:numPr>
          <w:ilvl w:val="0"/>
          <w:numId w:val="1001"/>
        </w:numPr>
        <w:pStyle w:val="Compact"/>
      </w:pPr>
      <w:r>
        <w:rPr>
          <w:bCs/>
          <w:b/>
        </w:rPr>
        <w:t xml:space="preserve">Confidentiality:</w:t>
      </w:r>
      <w:r>
        <w:t xml:space="preserve"> </w:t>
      </w:r>
      <w:r>
        <w:t xml:space="preserve">The Auditor shall maintain strict confidentiality over all financial records, proprietary data, and internal information accessed during the engagement in Colombia Bogotá. A non-disclosure agreement (NDA) is attached as Annex A to this Purchase Order.</w:t>
      </w:r>
    </w:p>
    <w:p>
      <w:pPr>
        <w:numPr>
          <w:ilvl w:val="0"/>
          <w:numId w:val="1001"/>
        </w:numPr>
        <w:pStyle w:val="Compact"/>
      </w:pPr>
      <w:r>
        <w:rPr>
          <w:bCs/>
          <w:b/>
        </w:rPr>
        <w:t xml:space="preserve">Professional Standards:</w:t>
      </w:r>
      <w:r>
        <w:t xml:space="preserve"> </w:t>
      </w:r>
      <w:r>
        <w:t xml:space="preserve">The Auditor shall perform all procedures in compliance with ISA, Colombian NIC/IFRS standards, and the ethical code of the Colombian Institute of Certified Public Accountants (ICPC). The Auditor shall be independent and free from conflicts of interest.</w:t>
      </w:r>
    </w:p>
    <w:p>
      <w:pPr>
        <w:numPr>
          <w:ilvl w:val="0"/>
          <w:numId w:val="1001"/>
        </w:numPr>
        <w:pStyle w:val="Compact"/>
      </w:pPr>
      <w:r>
        <w:rPr>
          <w:bCs/>
          <w:b/>
        </w:rPr>
        <w:t xml:space="preserve">Deliverables:</w:t>
      </w:r>
      <w:r>
        <w:t xml:space="preserve"> </w:t>
      </w:r>
      <w:r>
        <w:t xml:space="preserve">The Auditor shall deliver a comprehensive written report, management letter, and formal opinion within fifteen (15) business days of completing all fieldwork in Colombia Bogotá. Digital and hard copies (three sets) shall be provided.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Auditor shall be compensated for all work performed up to the termination date, as documented in Colombia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Colombia Bogotá.</w:t>
      </w:r>
    </w:p>
    <w:p>
      <w:pPr>
        <w:numPr>
          <w:ilvl w:val="0"/>
          <w:numId w:val="1001"/>
        </w:numPr>
        <w:pStyle w:val="Compact"/>
      </w:pPr>
      <w:r>
        <w:rPr>
          <w:bCs/>
          <w:b/>
        </w:rPr>
        <w:t xml:space="preserve">Regulatory Compliance:</w:t>
      </w:r>
      <w:r>
        <w:t xml:space="preserve"> </w:t>
      </w:r>
      <w:r>
        <w:t xml:space="preserve">The Auditor shall ensure that all findings and recommendations comply with the oversight requirements of the Superintendencia Financiera de Colombia and any applicable regulations of the city of Bogotá, D.C.</w:t>
      </w:r>
    </w:p>
    <w:p>
      <w:pPr>
        <w:pStyle w:val="FirstParagraph"/>
      </w:pPr>
      <w:r>
        <w:t xml:space="preserve">Authorization &amp; Signatures</w:t>
      </w:r>
    </w:p>
    <w:p>
      <w:pPr>
        <w:pStyle w:val="BodyText"/>
      </w:pPr>
      <w:r>
        <w:rPr>
          <w:bCs/>
          <w:b/>
        </w:rPr>
        <w:t xml:space="preserve">Prepared by (Buyer):</w:t>
      </w:r>
    </w:p>
    <w:p>
      <w:pPr>
        <w:pStyle w:val="BodyText"/>
      </w:pPr>
      <w:r>
        <w:t xml:space="preserve">María Fernanda Restrepo</w:t>
      </w:r>
    </w:p>
    <w:p>
      <w:pPr>
        <w:pStyle w:val="BodyText"/>
      </w:pPr>
      <w:r>
        <w:t xml:space="preserve">Director of Procurement</w:t>
      </w:r>
    </w:p>
    <w:p>
      <w:pPr>
        <w:pStyle w:val="BodyText"/>
      </w:pPr>
      <w:r>
        <w:t xml:space="preserve">Grupo Financiero Andino S.A.</w:t>
      </w:r>
    </w:p>
    <w:p>
      <w:pPr>
        <w:pStyle w:val="BodyText"/>
      </w:pPr>
      <w:r>
        <w:t xml:space="preserve">Signature &amp; Date</w:t>
      </w:r>
    </w:p>
    <w:p>
      <w:pPr>
        <w:pStyle w:val="BodyText"/>
      </w:pPr>
      <w:r>
        <w:rPr>
          <w:bCs/>
          <w:b/>
        </w:rPr>
        <w:t xml:space="preserve">Approved by (Buyer):</w:t>
      </w:r>
    </w:p>
    <w:p>
      <w:pPr>
        <w:pStyle w:val="BodyText"/>
      </w:pPr>
      <w:r>
        <w:t xml:space="preserve">Carlos Andrés Gutiérrez</w:t>
      </w:r>
    </w:p>
    <w:p>
      <w:pPr>
        <w:pStyle w:val="BodyText"/>
      </w:pPr>
      <w:r>
        <w:t xml:space="preserve">Chief Financial Officer</w:t>
      </w:r>
    </w:p>
    <w:p>
      <w:pPr>
        <w:pStyle w:val="BodyText"/>
      </w:pPr>
      <w:r>
        <w:t xml:space="preserve">Grupo Financiero Andino S.A.</w:t>
      </w:r>
    </w:p>
    <w:p>
      <w:pPr>
        <w:pStyle w:val="BodyText"/>
      </w:pPr>
      <w:r>
        <w:t xml:space="preserve">Signature &amp; Date</w:t>
      </w:r>
    </w:p>
    <w:p>
      <w:pPr>
        <w:pStyle w:val="BodyText"/>
      </w:pPr>
      <w:r>
        <w:rPr>
          <w:bCs/>
          <w:b/>
        </w:rPr>
        <w:t xml:space="preserve">Accepted by (Vendor / Auditor):</w:t>
      </w:r>
    </w:p>
    <w:p>
      <w:pPr>
        <w:pStyle w:val="BodyText"/>
      </w:pPr>
      <w:r>
        <w:t xml:space="preserve">Dr. Luis Alberto Mendoza</w:t>
      </w:r>
    </w:p>
    <w:p>
      <w:pPr>
        <w:pStyle w:val="BodyText"/>
      </w:pPr>
      <w:r>
        <w:t xml:space="preserve">Lead Auditor &amp; Managing Partner</w:t>
      </w:r>
    </w:p>
    <w:p>
      <w:pPr>
        <w:pStyle w:val="BodyText"/>
      </w:pPr>
      <w:r>
        <w:t xml:space="preserve">Firma de Auditoría Integral del Caribe Ltda.</w:t>
      </w:r>
    </w:p>
    <w:p>
      <w:pPr>
        <w:pStyle w:val="BodyText"/>
      </w:pPr>
      <w:r>
        <w:t xml:space="preserve">Signature &amp; Date</w:t>
      </w:r>
    </w:p>
    <w:p>
      <w:pPr>
        <w:pStyle w:val="BodyText"/>
      </w:pPr>
      <w:r>
        <w:t xml:space="preserve">This Purchase Order (PO No. CBG-2025-0047-AUD) is a legally binding document issued in Colombia Bogotá, D.C., Republic of Colombia. It constitutes the formal authorization for the procurement of professional Auditor services as described herein. All references to Colombia Bogotá denote the primary jurisdiction and operational base for this engagement.</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Colombia Bogotá</dc:title>
  <dc:creator/>
  <dc:language>en</dc:language>
  <cp:keywords/>
  <dcterms:created xsi:type="dcterms:W3CDTF">2026-10-10T01:57:31Z</dcterms:created>
  <dcterms:modified xsi:type="dcterms:W3CDTF">2026-10-10T01:57:31Z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