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Colombia</w:t>
      </w:r>
      <w:r>
        <w:t xml:space="preserve"> </w:t>
      </w:r>
      <w:r>
        <w:t xml:space="preserve">Medellín</w:t>
      </w:r>
    </w:p>
    <w:bookmarkStart w:id="20" w:name="purchase-order"/>
    <w:p>
      <w:pPr>
        <w:pStyle w:val="Heading1"/>
      </w:pPr>
      <w:r>
        <w:t xml:space="preserve">PURCHASE ORDER</w:t>
      </w:r>
    </w:p>
    <w:p>
      <w:pPr>
        <w:pStyle w:val="FirstParagraph"/>
      </w:pPr>
      <w:r>
        <w:t xml:space="preserve">Professional Services Procurement — Auditor Engagement</w:t>
      </w:r>
    </w:p>
    <w:p>
      <w:pPr>
        <w:pStyle w:val="BodyText"/>
      </w:pPr>
      <w:r>
        <w:t xml:space="preserve">Colombia — Medellín, Antioquia</w:t>
      </w:r>
    </w:p>
    <w:bookmarkEnd w:id="20"/>
    <w:bookmarkStart w:id="21" w:name="issuing-company-buyer"/>
    <w:p>
      <w:pPr>
        <w:pStyle w:val="Heading3"/>
      </w:pPr>
      <w:r>
        <w:t xml:space="preserve">Issuing Company (Buyer)</w:t>
      </w:r>
    </w:p>
    <w:p>
      <w:pPr>
        <w:pStyle w:val="FirstParagraph"/>
      </w:pPr>
      <w:r>
        <w:rPr>
          <w:bCs/>
          <w:b/>
        </w:rPr>
        <w:t xml:space="preserve">Grupo Andino Empresarial S.A.S.</w:t>
      </w:r>
      <w:r>
        <w:br/>
      </w:r>
      <w:r>
        <w:t xml:space="preserve">NIT: 900.456.789-1</w:t>
      </w:r>
      <w:r>
        <w:br/>
      </w:r>
      <w:r>
        <w:t xml:space="preserve">Address: Calle 43 # 45A-12, Of. 801</w:t>
      </w:r>
      <w:r>
        <w:br/>
      </w:r>
      <w:r>
        <w:t xml:space="preserve">El Poblado, Medellín, Antioquia</w:t>
      </w:r>
      <w:r>
        <w:br/>
      </w:r>
      <w:r>
        <w:t xml:space="preserve">Colombia</w:t>
      </w:r>
      <w:r>
        <w:br/>
      </w:r>
      <w:r>
        <w:t xml:space="preserve">Phone: +57 (604) 444 5566</w:t>
      </w:r>
      <w:r>
        <w:br/>
      </w:r>
      <w:r>
        <w:t xml:space="preserve">Email: compras@grupoandino.co</w:t>
      </w:r>
    </w:p>
    <w:bookmarkEnd w:id="21"/>
    <w:bookmarkStart w:id="22" w:name="service-provider-vendor"/>
    <w:p>
      <w:pPr>
        <w:pStyle w:val="Heading3"/>
      </w:pPr>
      <w:r>
        <w:t xml:space="preserve">Service Provider (Vendor)</w:t>
      </w:r>
    </w:p>
    <w:p>
      <w:pPr>
        <w:pStyle w:val="FirstParagraph"/>
      </w:pPr>
      <w:r>
        <w:rPr>
          <w:bCs/>
          <w:b/>
        </w:rPr>
        <w:t xml:space="preserve">Firmas de Auditoría del Valle S.A.S.</w:t>
      </w:r>
      <w:r>
        <w:br/>
      </w:r>
      <w:r>
        <w:t xml:space="preserve">NIT: 830.123.456-7</w:t>
      </w:r>
      <w:r>
        <w:br/>
      </w:r>
      <w:r>
        <w:t xml:space="preserve">Address: Cra. 45 # 5-33, Torre B, Piso 12</w:t>
      </w:r>
      <w:r>
        <w:br/>
      </w:r>
      <w:r>
        <w:t xml:space="preserve">El Poblado, Medellín, Antioquia</w:t>
      </w:r>
      <w:r>
        <w:br/>
      </w:r>
      <w:r>
        <w:t xml:space="preserve">Colombia</w:t>
      </w:r>
      <w:r>
        <w:br/>
      </w:r>
      <w:r>
        <w:t xml:space="preserve">Phone: +57 (604) 333 7788</w:t>
      </w:r>
      <w:r>
        <w:br/>
      </w:r>
      <w:r>
        <w:t xml:space="preserve">Email: contacto@auditoriavalle.co</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No.:</w:t>
            </w:r>
          </w:p>
        </w:tc>
        <w:tc>
          <w:tcPr/>
          <w:p>
            <w:pPr>
              <w:pStyle w:val="Compact"/>
              <w:jc w:val="left"/>
            </w:pPr>
            <w:r>
              <w:t xml:space="preserve">PO-2025-MDE-00487</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Delivery / Service Location:</w:t>
            </w:r>
          </w:p>
        </w:tc>
        <w:tc>
          <w:tcPr/>
          <w:p>
            <w:pPr>
              <w:pStyle w:val="Compact"/>
              <w:jc w:val="left"/>
            </w:pPr>
            <w:r>
              <w:t xml:space="preserve">Medellín, Antioquia, Colombia</w:t>
            </w:r>
          </w:p>
        </w:tc>
      </w:tr>
      <w:tr>
        <w:tc>
          <w:tcPr/>
          <w:p>
            <w:pPr>
              <w:pStyle w:val="Compact"/>
              <w:jc w:val="left"/>
            </w:pPr>
            <w:r>
              <w:t xml:space="preserve">Requested By:</w:t>
            </w:r>
          </w:p>
        </w:tc>
        <w:tc>
          <w:tcPr/>
          <w:p>
            <w:pPr>
              <w:pStyle w:val="Compact"/>
              <w:jc w:val="left"/>
            </w:pPr>
            <w:r>
              <w:t xml:space="preserve">María Fernanda Restrepo, Chief Financial Officer</w:t>
            </w:r>
          </w:p>
        </w:tc>
      </w:tr>
      <w:tr>
        <w:tc>
          <w:tcPr/>
          <w:p>
            <w:pPr>
              <w:pStyle w:val="Compact"/>
              <w:jc w:val="left"/>
            </w:pPr>
            <w:r>
              <w:t xml:space="preserve">Approved By:</w:t>
            </w:r>
          </w:p>
        </w:tc>
        <w:tc>
          <w:tcPr/>
          <w:p>
            <w:pPr>
              <w:pStyle w:val="Compact"/>
              <w:jc w:val="left"/>
            </w:pPr>
            <w:r>
              <w:t xml:space="preserve">Carlos Alberto Gómez, General Manager</w:t>
            </w:r>
          </w:p>
        </w:tc>
      </w:tr>
      <w:tr>
        <w:tc>
          <w:tcPr/>
          <w:p>
            <w:pPr>
              <w:pStyle w:val="Compact"/>
              <w:jc w:val="left"/>
            </w:pPr>
            <w:r>
              <w:t xml:space="preserve">Payment Terms:</w:t>
            </w:r>
          </w:p>
        </w:tc>
        <w:tc>
          <w:tcPr/>
          <w:p>
            <w:pPr>
              <w:pStyle w:val="Compact"/>
              <w:jc w:val="left"/>
            </w:pPr>
            <w:r>
              <w:t xml:space="preserve">Net 30 days from invoice date (COP)</w:t>
            </w:r>
          </w:p>
        </w:tc>
      </w:tr>
      <w:tr>
        <w:tc>
          <w:tcPr/>
          <w:p>
            <w:pPr>
              <w:pStyle w:val="Compact"/>
              <w:jc w:val="left"/>
            </w:pPr>
            <w:r>
              <w:t xml:space="preserve">Contract Reference:</w:t>
            </w:r>
          </w:p>
        </w:tc>
        <w:tc>
          <w:tcPr/>
          <w:p>
            <w:pPr>
              <w:pStyle w:val="Compact"/>
              <w:jc w:val="left"/>
            </w:pPr>
            <w:r>
              <w:t xml:space="preserve">CON-AUD-2025-019 (Medellín, Antioquia)</w:t>
            </w:r>
          </w:p>
        </w:tc>
      </w:tr>
    </w:tbl>
    <w:bookmarkStart w:id="23" w:name="Xeb0d612b89377d5bde300cdba309f99d50cbb85"/>
    <w:p>
      <w:pPr>
        <w:pStyle w:val="Heading2"/>
      </w:pPr>
      <w:r>
        <w:t xml:space="preserve">1. Description of Services — Auditor Engagement</w:t>
      </w:r>
    </w:p>
    <w:p>
      <w:pPr>
        <w:pStyle w:val="FirstParagraph"/>
      </w:pPr>
      <w:r>
        <w:t xml:space="preserve">This Purchase Order is issued by Grupo Andino Empresarial S.A.S., a company legally domiciled in Medellín, Antioquia, Colombia, to formally request and authorize the procurement of professional Auditor services from Firmas de Auditoría del Valle S.A.S. The Auditor engagement is required to comply with the financial reporting obligations established under Colombian commercial law (Código de Comercio), the regulations of the Superintendencia de Sociedades, and the International Financial Reporting Standards (IFRS) as adopted in Colombia by the Consejo Nacional de Valores.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Auditor Service</w:t>
            </w:r>
          </w:p>
        </w:tc>
        <w:tc>
          <w:tcPr/>
          <w:p>
            <w:pPr>
              <w:pStyle w:val="Compact"/>
              <w:jc w:val="left"/>
            </w:pPr>
            <w:r>
              <w:t xml:space="preserve">Period</w:t>
            </w:r>
          </w:p>
        </w:tc>
        <w:tc>
          <w:tcPr/>
          <w:p>
            <w:pPr>
              <w:pStyle w:val="Compact"/>
              <w:jc w:val="left"/>
            </w:pPr>
            <w:r>
              <w:t xml:space="preserve">Unit Price (COP)</w:t>
            </w:r>
          </w:p>
        </w:tc>
        <w:tc>
          <w:tcPr/>
          <w:p>
            <w:pPr>
              <w:pStyle w:val="Compact"/>
              <w:jc w:val="left"/>
            </w:pPr>
            <w:r>
              <w:t xml:space="preserve">Amount (COP)</w:t>
            </w:r>
          </w:p>
        </w:tc>
        <w:tc>
          <w:tcPr/>
          <w:p>
            <w:pPr>
              <w:pStyle w:val="Compact"/>
            </w:pPr>
          </w:p>
        </w:tc>
      </w:tr>
      <w:tr>
        <w:tc>
          <w:tcPr/>
          <w:p>
            <w:pPr>
              <w:pStyle w:val="Compact"/>
              <w:jc w:val="left"/>
            </w:pPr>
            <w:r>
              <w:t xml:space="preserve">1</w:t>
            </w:r>
          </w:p>
        </w:tc>
        <w:tc>
          <w:tcPr/>
          <w:p>
            <w:pPr>
              <w:pStyle w:val="Compact"/>
              <w:jc w:val="left"/>
            </w:pPr>
            <w:r>
              <w:t xml:space="preserve">Annual financial statement audit in accordance with NIA (Normas Internacionales de Auditoría) applicable in Colombia. Includes review of balance sheets, income statements, cash flow statements, and notes to the financial statements for the fiscal year 2024.</w:t>
            </w:r>
          </w:p>
        </w:tc>
        <w:tc>
          <w:tcPr/>
          <w:p>
            <w:pPr>
              <w:pStyle w:val="Compact"/>
              <w:jc w:val="left"/>
            </w:pPr>
            <w:r>
              <w:t xml:space="preserve">Jul 2025 – Sep 2025</w:t>
            </w:r>
          </w:p>
        </w:tc>
        <w:tc>
          <w:tcPr/>
          <w:p>
            <w:pPr>
              <w:pStyle w:val="Compact"/>
              <w:jc w:val="left"/>
            </w:pPr>
            <w:r>
              <w:t xml:space="preserve">45,000,000</w:t>
            </w:r>
          </w:p>
        </w:tc>
        <w:tc>
          <w:tcPr/>
          <w:p>
            <w:pPr>
              <w:pStyle w:val="Compact"/>
              <w:jc w:val="left"/>
            </w:pPr>
            <w:r>
              <w:t xml:space="preserve">45,000,000</w:t>
            </w:r>
          </w:p>
        </w:tc>
        <w:tc>
          <w:tcPr/>
          <w:p>
            <w:pPr>
              <w:pStyle w:val="Compact"/>
            </w:pPr>
          </w:p>
        </w:tc>
      </w:tr>
      <w:tr>
        <w:tc>
          <w:tcPr/>
          <w:p>
            <w:pPr>
              <w:pStyle w:val="Compact"/>
              <w:jc w:val="left"/>
            </w:pPr>
            <w:r>
              <w:t xml:space="preserve">2</w:t>
            </w:r>
          </w:p>
        </w:tc>
        <w:tc>
          <w:tcPr/>
          <w:p>
            <w:pPr>
              <w:pStyle w:val="Compact"/>
              <w:jc w:val="left"/>
            </w:pPr>
            <w:r>
              <w:t xml:space="preserve">Internal control assessment and compliance audit of operational processes at the Medellín headquarters and the two regional branches in Envigado and Bello, Antioquia. The Auditor shall issue a management letter with findings and recommendations.</w:t>
            </w:r>
          </w:p>
        </w:tc>
        <w:tc>
          <w:tcPr/>
          <w:p>
            <w:pPr>
              <w:pStyle w:val="Compact"/>
              <w:jc w:val="left"/>
            </w:pPr>
            <w:r>
              <w:t xml:space="preserve">Aug 2025 – Oct 2025</w:t>
            </w:r>
          </w:p>
        </w:tc>
        <w:tc>
          <w:tcPr/>
          <w:p>
            <w:pPr>
              <w:pStyle w:val="Compact"/>
              <w:jc w:val="left"/>
            </w:pPr>
            <w:r>
              <w:t xml:space="preserve">28,500,000</w:t>
            </w:r>
          </w:p>
        </w:tc>
        <w:tc>
          <w:tcPr/>
          <w:p>
            <w:pPr>
              <w:pStyle w:val="Compact"/>
              <w:jc w:val="left"/>
            </w:pPr>
            <w:r>
              <w:t xml:space="preserve">28,500,000</w:t>
            </w:r>
          </w:p>
        </w:tc>
        <w:tc>
          <w:tcPr/>
          <w:p>
            <w:pPr>
              <w:pStyle w:val="Compact"/>
            </w:pPr>
          </w:p>
        </w:tc>
      </w:tr>
      <w:tr>
        <w:tc>
          <w:tcPr/>
          <w:p>
            <w:pPr>
              <w:pStyle w:val="Compact"/>
              <w:jc w:val="left"/>
            </w:pPr>
            <w:r>
              <w:t xml:space="preserve">3</w:t>
            </w:r>
          </w:p>
        </w:tc>
        <w:tc>
          <w:tcPr/>
          <w:p>
            <w:pPr>
              <w:pStyle w:val="Compact"/>
              <w:jc w:val="left"/>
            </w:pPr>
            <w:r>
              <w:t xml:space="preserve">Tax compliance review and VAT (IVA) reconciliation audit for the first and second quarters of 2025, ensuring alignment with DIAN (Dirección de Impuestos y Aduanas Nacionales) regulations in force in Colombia.</w:t>
            </w:r>
          </w:p>
        </w:tc>
        <w:tc>
          <w:tcPr/>
          <w:p>
            <w:pPr>
              <w:pStyle w:val="Compact"/>
              <w:jc w:val="left"/>
            </w:pPr>
            <w:r>
              <w:t xml:space="preserve">Jul 2025 – Aug 2025</w:t>
            </w:r>
          </w:p>
        </w:tc>
        <w:tc>
          <w:tcPr/>
          <w:p>
            <w:pPr>
              <w:pStyle w:val="Compact"/>
              <w:jc w:val="left"/>
            </w:pPr>
            <w:r>
              <w:t xml:space="preserve">18,000,000</w:t>
            </w:r>
          </w:p>
        </w:tc>
        <w:tc>
          <w:tcPr/>
          <w:p>
            <w:pPr>
              <w:pStyle w:val="Compact"/>
              <w:jc w:val="left"/>
            </w:pPr>
            <w:r>
              <w:t xml:space="preserve">18,000,000</w:t>
            </w:r>
          </w:p>
        </w:tc>
        <w:tc>
          <w:tcPr/>
          <w:p>
            <w:pPr>
              <w:pStyle w:val="Compact"/>
            </w:pPr>
          </w:p>
        </w:tc>
      </w:tr>
      <w:tr>
        <w:tc>
          <w:tcPr/>
          <w:p>
            <w:pPr>
              <w:pStyle w:val="Compact"/>
            </w:pPr>
          </w:p>
        </w:tc>
        <w:tc>
          <w:tcPr/>
          <w:p>
            <w:pPr>
              <w:pStyle w:val="Compact"/>
              <w:jc w:val="left"/>
            </w:pPr>
            <w:r>
              <w:t xml:space="preserve">4</w:t>
            </w:r>
          </w:p>
        </w:tc>
        <w:tc>
          <w:tcPr/>
          <w:p>
            <w:pPr>
              <w:pStyle w:val="Compact"/>
              <w:jc w:val="left"/>
            </w:pPr>
            <w:r>
              <w:t xml:space="preserve">Forensic audit support for the due diligence process related to the planned acquisition of a subsidiary in the Medellín metropolitan area. The Auditor will provide an independent opinion on the target company's financial position.</w:t>
            </w:r>
          </w:p>
        </w:tc>
        <w:tc>
          <w:tcPr/>
          <w:p>
            <w:pPr>
              <w:pStyle w:val="Compact"/>
              <w:jc w:val="left"/>
            </w:pPr>
            <w:r>
              <w:t xml:space="preserve">Sep 2025 – Nov 2025</w:t>
            </w:r>
          </w:p>
        </w:tc>
        <w:tc>
          <w:tcPr/>
          <w:p>
            <w:pPr>
              <w:pStyle w:val="Compact"/>
              <w:jc w:val="left"/>
            </w:pPr>
            <w:r>
              <w:t xml:space="preserve">32,000,000</w:t>
            </w:r>
          </w:p>
        </w:tc>
        <w:tc>
          <w:tcPr/>
          <w:p>
            <w:pPr>
              <w:pStyle w:val="Compact"/>
              <w:jc w:val="left"/>
            </w:pPr>
            <w:r>
              <w:t xml:space="preserve">32,000,000</w:t>
            </w:r>
          </w:p>
        </w:tc>
      </w:tr>
      <w:tr>
        <w:tc>
          <w:tcPr/>
          <w:p>
            <w:pPr>
              <w:pStyle w:val="Compact"/>
              <w:jc w:val="left"/>
            </w:pPr>
            <w:r>
              <w:t xml:space="preserve">5</w:t>
            </w:r>
          </w:p>
        </w:tc>
        <w:tc>
          <w:tcPr/>
          <w:p>
            <w:pPr>
              <w:pStyle w:val="Compact"/>
              <w:jc w:val="left"/>
            </w:pPr>
            <w:r>
              <w:t xml:space="preserve">Monthly interim review of financial records and preparation of quarterly management reports for the Board of Directors, conducted by the assigned Auditor team based in Medellín.</w:t>
            </w:r>
          </w:p>
        </w:tc>
        <w:tc>
          <w:tcPr/>
          <w:p>
            <w:pPr>
              <w:pStyle w:val="Compact"/>
              <w:jc w:val="left"/>
            </w:pPr>
            <w:r>
              <w:t xml:space="preserve">Jul 2025 – Dec 2025</w:t>
            </w:r>
          </w:p>
        </w:tc>
        <w:tc>
          <w:tcPr/>
          <w:p>
            <w:pPr>
              <w:pStyle w:val="Compact"/>
              <w:jc w:val="left"/>
            </w:pPr>
            <w:r>
              <w:t xml:space="preserve">8,500,000 / month</w:t>
            </w:r>
          </w:p>
        </w:tc>
        <w:tc>
          <w:tcPr/>
          <w:p>
            <w:pPr>
              <w:pStyle w:val="Compact"/>
              <w:jc w:val="left"/>
            </w:pPr>
            <w:r>
              <w:t xml:space="preserve">51,000,000</w:t>
            </w:r>
          </w:p>
        </w:tc>
        <w:tc>
          <w:tcPr/>
          <w:p>
            <w:pPr>
              <w:pStyle w:val="Compact"/>
            </w:pP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(COP)</w:t>
            </w:r>
          </w:p>
        </w:tc>
        <w:tc>
          <w:tcPr/>
          <w:p>
            <w:pPr>
              <w:pStyle w:val="Compact"/>
              <w:jc w:val="right"/>
            </w:pPr>
            <w:r>
              <w:t xml:space="preserve">174,500,000</w:t>
            </w:r>
          </w:p>
        </w:tc>
      </w:tr>
      <w:tr>
        <w:tc>
          <w:tcPr/>
          <w:p>
            <w:pPr>
              <w:pStyle w:val="Compact"/>
              <w:jc w:val="left"/>
            </w:pPr>
            <w:r>
              <w:t xml:space="preserve">IVA (19% — Colombian Value Added Tax)</w:t>
            </w:r>
          </w:p>
        </w:tc>
        <w:tc>
          <w:tcPr/>
          <w:p>
            <w:pPr>
              <w:pStyle w:val="Compact"/>
              <w:jc w:val="right"/>
            </w:pPr>
            <w:r>
              <w:t xml:space="preserve">33,155,000</w:t>
            </w:r>
          </w:p>
        </w:tc>
      </w:tr>
      <w:tr>
        <w:tc>
          <w:tcPr/>
          <w:p>
            <w:pPr>
              <w:pStyle w:val="Compact"/>
              <w:jc w:val="left"/>
            </w:pPr>
            <w:r>
              <w:t xml:space="preserve">Grand Total (COP)</w:t>
            </w:r>
          </w:p>
        </w:tc>
        <w:tc>
          <w:tcPr/>
          <w:p>
            <w:pPr>
              <w:pStyle w:val="Compact"/>
              <w:jc w:val="right"/>
            </w:pPr>
            <w:r>
              <w:t xml:space="preserve">207,655,000</w:t>
            </w:r>
          </w:p>
        </w:tc>
      </w:tr>
    </w:tbl>
    <w:bookmarkEnd w:id="23"/>
    <w:bookmarkStart w:id="24" w:name="terms-and-conditions"/>
    <w:p>
      <w:pPr>
        <w:pStyle w:val="Heading2"/>
      </w:pPr>
      <w:r>
        <w:t xml:space="preserve">2. Terms and Conditions</w:t>
      </w:r>
    </w:p>
    <w:p>
      <w:pPr>
        <w:numPr>
          <w:ilvl w:val="0"/>
          <w:numId w:val="1001"/>
        </w:numPr>
        <w:pStyle w:val="Compact"/>
      </w:pPr>
      <w:r>
        <w:rPr>
          <w:bCs/>
          <w:b/>
        </w:rPr>
        <w:t xml:space="preserve">Governing Law and Jurisdiction:</w:t>
      </w:r>
      <w:r>
        <w:t xml:space="preserve"> </w:t>
      </w:r>
      <w:r>
        <w:t xml:space="preserve">This Purchase Order and the associated Auditor engagement shall be governed by the laws of the Republic of Colombia. Any dispute arising from this Purchase Order shall be subject to the exclusive jurisdiction of the commercial courts of Medellín, Antioquia, Colombia. The parties waive any other jurisdiction that may apply.</w:t>
      </w:r>
    </w:p>
    <w:p>
      <w:pPr>
        <w:numPr>
          <w:ilvl w:val="0"/>
          <w:numId w:val="1001"/>
        </w:numPr>
        <w:pStyle w:val="Compact"/>
      </w:pPr>
      <w:r>
        <w:rPr>
          <w:bCs/>
          <w:b/>
        </w:rPr>
        <w:t xml:space="preserve">Scope of Auditor Services:</w:t>
      </w:r>
      <w:r>
        <w:t xml:space="preserve"> </w:t>
      </w:r>
      <w:r>
        <w:t xml:space="preserve">The Auditor shall perform all services described herein in strict compliance with the Colombian Standards for Professional Accountants (NCP), the International Standards on Auditing (ISA/NIA), and all applicable regulations issued by the Superintendencia de Sociedades and the DIAN. The Auditor must hold a valid professional license (cédula profesional) and be registered with the Colombian Institute of Public Accountants (ICPC).</w:t>
      </w:r>
    </w:p>
    <w:p>
      <w:pPr>
        <w:numPr>
          <w:ilvl w:val="0"/>
          <w:numId w:val="1001"/>
        </w:numPr>
        <w:pStyle w:val="Compact"/>
      </w:pPr>
      <w:r>
        <w:rPr>
          <w:bCs/>
          <w:b/>
        </w:rPr>
        <w:t xml:space="preserve">Confidentiality and Data Protection:</w:t>
      </w:r>
      <w:r>
        <w:t xml:space="preserve"> </w:t>
      </w:r>
      <w:r>
        <w:t xml:space="preserve">The Auditor agrees to maintain strict confidentiality over all financial records, trade secrets, and proprietary information of Grupo Andino Empresarial S.A.S. This obligation is in addition to the data protection requirements established under Law 1581 of 2012 (Ley de Protección de Datos Personales) of Colombia. All digital records shall be stored on servers located within the national territory of Colombia, specifically in the Medellín region, unless otherwise authorized in writing.</w:t>
      </w:r>
    </w:p>
    <w:p>
      <w:pPr>
        <w:numPr>
          <w:ilvl w:val="0"/>
          <w:numId w:val="1001"/>
        </w:numPr>
        <w:pStyle w:val="Compact"/>
      </w:pPr>
      <w:r>
        <w:rPr>
          <w:bCs/>
          <w:b/>
        </w:rPr>
        <w:t xml:space="preserve">Payment Schedule:</w:t>
      </w:r>
      <w:r>
        <w:t xml:space="preserve"> </w:t>
      </w:r>
      <w:r>
        <w:t xml:space="preserve">Payment for this Purchase Order shall be made in Colombian Pesos (COP) via electronic bank transfer (transferencia electrónica) to the bank account designated by the Auditor. Invoices must include the NIT, the applicable IVA rate, and the corresponding electronic tax document (factura electrónica) as required by the DIAN resolution in force. Payment is due within thirty (30) calendar days from the date of receipt of a valid invoice.</w:t>
      </w:r>
    </w:p>
    <w:p>
      <w:pPr>
        <w:numPr>
          <w:ilvl w:val="0"/>
          <w:numId w:val="1001"/>
        </w:numPr>
        <w:pStyle w:val="Compact"/>
      </w:pPr>
      <w:r>
        <w:rPr>
          <w:bCs/>
          <w:b/>
        </w:rPr>
        <w:t xml:space="preserve">Deliverables and Reporting:</w:t>
      </w:r>
      <w:r>
        <w:t xml:space="preserve"> </w:t>
      </w:r>
      <w:r>
        <w:t xml:space="preserve">The Auditor shall deliver all audit reports, management letters, and compliance opinions in both Spanish and English. Final deliverables for the annual audit must be submitted no later than November 30, 2025, to the offices of Grupo Andino Empresarial S.A.S. located in Medellín, Antioquia, Colombia.</w:t>
      </w:r>
    </w:p>
    <w:p>
      <w:pPr>
        <w:numPr>
          <w:ilvl w:val="0"/>
          <w:numId w:val="1001"/>
        </w:numPr>
        <w:pStyle w:val="Compact"/>
      </w:pPr>
      <w:r>
        <w:rPr>
          <w:bCs/>
          <w:b/>
        </w:rPr>
        <w:t xml:space="preserve">Termination:</w:t>
      </w:r>
      <w:r>
        <w:t xml:space="preserve"> </w:t>
      </w:r>
      <w:r>
        <w:t xml:space="preserve">Either party may terminate this Purchase Order with a written notice of thirty (30) days. In the event of termination, the Auditor shall be compensated for all services rendered up to the effective date of termination, as documented in a final invoice.</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 mandates, or public health emergencies as declared by the national government of Colombia or the municipal authorities of Medellín.</w:t>
      </w:r>
    </w:p>
    <w:p>
      <w:pPr>
        <w:numPr>
          <w:ilvl w:val="0"/>
          <w:numId w:val="1001"/>
        </w:numPr>
        <w:pStyle w:val="Compact"/>
      </w:pPr>
      <w:r>
        <w:rPr>
          <w:bCs/>
          <w:b/>
        </w:rPr>
        <w:t xml:space="preserve">Anti-Corruption and Compliance:</w:t>
      </w:r>
      <w:r>
        <w:t xml:space="preserve"> </w:t>
      </w:r>
      <w:r>
        <w:t xml:space="preserve">The Auditor warrants that no part of the compensation under this Purchase Order shall be used to offer, pay, or authorize any bribe or improper payment in violation of Colombian anti-corruption laws (Ley 1474 de 2011) or any applicable international anti-bribery legislation.</w:t>
      </w:r>
    </w:p>
    <w:bookmarkEnd w:id="24"/>
    <w:bookmarkStart w:id="25" w:name="acceptance-and-authorization"/>
    <w:p>
      <w:pPr>
        <w:pStyle w:val="Heading2"/>
      </w:pPr>
      <w:r>
        <w:t xml:space="preserve">3. Acceptance and Authorization</w:t>
      </w:r>
    </w:p>
    <w:p>
      <w:pPr>
        <w:pStyle w:val="FirstParagraph"/>
      </w:pPr>
      <w:r>
        <w:t xml:space="preserve">By signing below, both parties acknowledge and agree to the terms set forth in this Purchase Order for the Auditor services to be performed in Medellín, Antioquia, Colombia. This document constitutes a binding commitment between the parties for the duration of the engagement specified herein.</w:t>
      </w:r>
    </w:p>
    <w:p>
      <w:pPr>
        <w:pStyle w:val="BodyText"/>
      </w:pPr>
      <w:r>
        <w:rPr>
          <w:bCs/>
          <w:b/>
        </w:rPr>
        <w:t xml:space="preserve">For Grupo Andino Empresarial S.A.S. (Buyer)</w:t>
      </w:r>
      <w:r>
        <w:br/>
      </w:r>
      <w:r>
        <w:t xml:space="preserve">Carlos Alberto Gómez</w:t>
      </w:r>
      <w:r>
        <w:br/>
      </w:r>
      <w:r>
        <w:t xml:space="preserve">General Manager</w:t>
      </w:r>
      <w:r>
        <w:br/>
      </w:r>
      <w:r>
        <w:t xml:space="preserve">NIT: 900.456.789-1</w:t>
      </w:r>
      <w:r>
        <w:br/>
      </w:r>
      <w:r>
        <w:t xml:space="preserve">Medellín, Colombia</w:t>
      </w:r>
    </w:p>
    <w:p>
      <w:pPr>
        <w:pStyle w:val="BodyText"/>
      </w:pPr>
      <w:r>
        <w:rPr>
          <w:bCs/>
          <w:b/>
        </w:rPr>
        <w:t xml:space="preserve">For Firmas de Auditoría del Valle S.A.S. (Auditor / Vendor)</w:t>
      </w:r>
      <w:r>
        <w:br/>
      </w:r>
      <w:r>
        <w:t xml:space="preserve">Dra. Lucía Patricia Henao</w:t>
      </w:r>
      <w:r>
        <w:br/>
      </w:r>
      <w:r>
        <w:t xml:space="preserve">Lead Auditor &amp; Managing Partner</w:t>
      </w:r>
      <w:r>
        <w:br/>
      </w:r>
      <w:r>
        <w:t xml:space="preserve">ICPC Registration: 1.234.567</w:t>
      </w:r>
      <w:r>
        <w:br/>
      </w:r>
      <w:r>
        <w:t xml:space="preserve">Medellín, Colombia</w:t>
      </w:r>
    </w:p>
    <w:p>
      <w:pPr>
        <w:pStyle w:val="BodyText"/>
      </w:pPr>
      <w:r>
        <w:t xml:space="preserve">This Purchase Order (PO-2025-MDE-00487) was issued in Medellín, Antioquia, Colombia. It is valid for a period of ninety (90) days from the date of issue. All communications regarding this Purchase Order and the Auditor engagement should be directed to the addresses listed above. This document is subject to the commercial and tax regulations of the Republic of Colombia. © 2025 Grupo Andino Empresarial S.A.S.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Auditor Services - Colombia Medellín</dc:title>
  <dc:creator/>
  <dc:language>en</dc:language>
  <cp:keywords/>
  <dcterms:created xsi:type="dcterms:W3CDTF">2026-10-10T01:23:03Z</dcterms:created>
  <dcterms:modified xsi:type="dcterms:W3CDTF">2026-10-10T01:23:03Z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