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Auditor</w:t>
      </w:r>
      <w:r>
        <w:t xml:space="preserve"> </w:t>
      </w:r>
      <w:r>
        <w:t xml:space="preserve">Services</w:t>
      </w:r>
      <w:r>
        <w:t xml:space="preserve"> </w:t>
      </w:r>
      <w:r>
        <w:t xml:space="preserve">-</w:t>
      </w:r>
      <w:r>
        <w:t xml:space="preserve"> </w:t>
      </w:r>
      <w:r>
        <w:t xml:space="preserve">Egypt</w:t>
      </w:r>
      <w:r>
        <w:t xml:space="preserve"> </w:t>
      </w:r>
      <w:r>
        <w:t xml:space="preserve">Alexandria</w:t>
      </w:r>
    </w:p>
    <w:bookmarkStart w:id="20" w:name="purchase-order"/>
    <w:p>
      <w:pPr>
        <w:pStyle w:val="Heading1"/>
      </w:pPr>
      <w:r>
        <w:t xml:space="preserve">PURCHASE ORDER</w:t>
      </w:r>
    </w:p>
    <w:p>
      <w:pPr>
        <w:pStyle w:val="FirstParagraph"/>
      </w:pPr>
      <w:r>
        <w:t xml:space="preserve">Auditor Services Procurement Document</w:t>
      </w:r>
    </w:p>
    <w:p>
      <w:pPr>
        <w:pStyle w:val="BodyText"/>
      </w:pPr>
      <w:r>
        <w:t xml:space="preserve">PO No.: EGY-ALX-2025-0047</w:t>
      </w:r>
    </w:p>
    <w:p>
      <w:pPr>
        <w:pStyle w:val="BodyText"/>
      </w:pPr>
      <w:r>
        <w:t xml:space="preserve">Issued in Egypt Alexandria, Arab Republic of Egypt</w:t>
      </w:r>
    </w:p>
    <w:bookmarkEnd w:id="20"/>
    <w:bookmarkStart w:id="21" w:name="purchase-order-identification"/>
    <w:p>
      <w:pPr>
        <w:pStyle w:val="Heading2"/>
      </w:pPr>
      <w:r>
        <w:t xml:space="preserve">1. Purchase Order Identification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Purchase Order Number</w:t>
            </w:r>
          </w:p>
        </w:tc>
        <w:tc>
          <w:tcPr/>
          <w:p>
            <w:pPr>
              <w:pStyle w:val="Compact"/>
              <w:jc w:val="left"/>
            </w:pPr>
            <w:r>
              <w:t xml:space="preserve">EGY-ALX-2025-0047</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Place of Issue</w:t>
            </w:r>
          </w:p>
        </w:tc>
        <w:tc>
          <w:tcPr/>
          <w:p>
            <w:pPr>
              <w:pStyle w:val="Compact"/>
              <w:jc w:val="left"/>
            </w:pPr>
            <w:r>
              <w:t xml:space="preserve">Alexandria, Egypt</w:t>
            </w:r>
          </w:p>
        </w:tc>
      </w:tr>
      <w:tr>
        <w:tc>
          <w:tcPr/>
          <w:p>
            <w:pPr>
              <w:pStyle w:val="Compact"/>
              <w:jc w:val="left"/>
            </w:pPr>
            <w:r>
              <w:t xml:space="preserve">Required Delivery Date</w:t>
            </w:r>
          </w:p>
        </w:tc>
        <w:tc>
          <w:tcPr/>
          <w:p>
            <w:pPr>
              <w:pStyle w:val="Compact"/>
              <w:jc w:val="left"/>
            </w:pPr>
            <w:r>
              <w:t xml:space="preserve">30 September 2025</w:t>
            </w:r>
          </w:p>
        </w:tc>
      </w:tr>
      <w:tr>
        <w:tc>
          <w:tcPr/>
          <w:p>
            <w:pPr>
              <w:pStyle w:val="Compact"/>
              <w:jc w:val="left"/>
            </w:pPr>
            <w:r>
              <w:t xml:space="preserve">Currency</w:t>
            </w:r>
          </w:p>
        </w:tc>
        <w:tc>
          <w:tcPr/>
          <w:p>
            <w:pPr>
              <w:pStyle w:val="Compact"/>
              <w:jc w:val="left"/>
            </w:pPr>
            <w:r>
              <w:t xml:space="preserve">Egyptian Pound (EGP)</w:t>
            </w:r>
          </w:p>
        </w:tc>
      </w:tr>
      <w:tr>
        <w:tc>
          <w:tcPr/>
          <w:p>
            <w:pPr>
              <w:pStyle w:val="Compact"/>
              <w:jc w:val="left"/>
            </w:pPr>
            <w:r>
              <w:t xml:space="preserve">Governing Jurisdiction</w:t>
            </w:r>
          </w:p>
        </w:tc>
        <w:tc>
          <w:tcPr/>
          <w:p>
            <w:pPr>
              <w:pStyle w:val="Compact"/>
              <w:jc w:val="left"/>
            </w:pPr>
            <w:r>
              <w:t xml:space="preserve">Arab Republic of Egypt – Alexandria Governorate</w:t>
            </w:r>
          </w:p>
        </w:tc>
      </w:tr>
    </w:tbl>
    <w:bookmarkEnd w:id="21"/>
    <w:bookmarkStart w:id="22" w:name="purchasing-entity-buyer"/>
    <w:p>
      <w:pPr>
        <w:pStyle w:val="Heading2"/>
      </w:pPr>
      <w:r>
        <w:t xml:space="preserve">2. Purchasing Entity (Buyer)</w:t>
      </w:r>
    </w:p>
    <w:p>
      <w:pPr>
        <w:pStyle w:val="FirstParagraph"/>
      </w:pPr>
      <w:r>
        <w:rPr>
          <w:bCs/>
          <w:b/>
        </w:rPr>
        <w:t xml:space="preserve">Company Name:</w:t>
      </w:r>
      <w:r>
        <w:t xml:space="preserve"> </w:t>
      </w:r>
      <w:r>
        <w:t xml:space="preserve">Alexandria Coastal Industrial Holdings S.A.E.</w:t>
      </w:r>
    </w:p>
    <w:p>
      <w:pPr>
        <w:pStyle w:val="BodyText"/>
      </w:pPr>
      <w:r>
        <w:rPr>
          <w:bCs/>
          <w:b/>
        </w:rPr>
        <w:t xml:space="preserve">Address:</w:t>
      </w:r>
      <w:r>
        <w:t xml:space="preserve"> </w:t>
      </w:r>
      <w:r>
        <w:t xml:space="preserve">42 Corniche El-Nil Street, Smouha District, Alexandria, Egypt</w:t>
      </w:r>
    </w:p>
    <w:p>
      <w:pPr>
        <w:pStyle w:val="BodyText"/>
      </w:pPr>
      <w:r>
        <w:rPr>
          <w:bCs/>
          <w:b/>
        </w:rPr>
        <w:t xml:space="preserve">Commercial Registration No.:</w:t>
      </w:r>
      <w:r>
        <w:t xml:space="preserve"> </w:t>
      </w:r>
      <w:r>
        <w:t xml:space="preserve">184729 (Alexandria Commercial Registry)</w:t>
      </w:r>
    </w:p>
    <w:p>
      <w:pPr>
        <w:pStyle w:val="BodyText"/>
      </w:pPr>
      <w:r>
        <w:rPr>
          <w:bCs/>
          <w:b/>
        </w:rPr>
        <w:t xml:space="preserve">Tax Identification Number (TIN):</w:t>
      </w:r>
      <w:r>
        <w:t xml:space="preserve">552-883-1047</w:t>
      </w:r>
    </w:p>
    <w:p>
      <w:pPr>
        <w:pStyle w:val="BodyText"/>
      </w:pPr>
      <w:r>
        <w:rPr>
          <w:bCs/>
          <w:b/>
        </w:rPr>
        <w:t xml:space="preserve">Authorized Signatory:</w:t>
      </w:r>
      <w:r>
        <w:t xml:space="preserve"> </w:t>
      </w:r>
      <w:r>
        <w:t xml:space="preserve">Mr. Tarek El-Sayed, Chief Financial Officer</w:t>
      </w:r>
    </w:p>
    <w:p>
      <w:pPr>
        <w:pStyle w:val="BodyText"/>
      </w:pPr>
      <w:r>
        <w:rPr>
          <w:bCs/>
          <w:b/>
        </w:rPr>
        <w:t xml:space="preserve">Contact:</w:t>
      </w:r>
      <w:r>
        <w:t xml:space="preserve"> </w:t>
      </w:r>
      <w:r>
        <w:t xml:space="preserve">+20 3 487 2210 | finance@alexcoastal-ind.com</w:t>
      </w:r>
    </w:p>
    <w:bookmarkEnd w:id="22"/>
    <w:bookmarkStart w:id="23" w:name="supplier-service-provider-auditor"/>
    <w:p>
      <w:pPr>
        <w:pStyle w:val="Heading2"/>
      </w:pPr>
      <w:r>
        <w:t xml:space="preserve">3. Supplier / Service Provider (Auditor)</w:t>
      </w:r>
    </w:p>
    <w:p>
      <w:pPr>
        <w:pStyle w:val="FirstParagraph"/>
      </w:pPr>
      <w:r>
        <w:rPr>
          <w:bCs/>
          <w:b/>
        </w:rPr>
        <w:t xml:space="preserve">Firm Name:</w:t>
      </w:r>
      <w:r>
        <w:t xml:space="preserve"> </w:t>
      </w:r>
      <w:r>
        <w:t xml:space="preserve">Mediterranean Assurance &amp; Audit Partners (MAAP)</w:t>
      </w:r>
    </w:p>
    <w:p>
      <w:pPr>
        <w:pStyle w:val="BodyText"/>
      </w:pPr>
      <w:r>
        <w:rPr>
          <w:bCs/>
          <w:b/>
        </w:rPr>
        <w:t xml:space="preserve">Address:</w:t>
      </w:r>
      <w:r>
        <w:t xml:space="preserve"> </w:t>
      </w:r>
      <w:r>
        <w:t xml:space="preserve">18 Fouad Street, Aboukir District, Alexandria, Egypt</w:t>
      </w:r>
    </w:p>
    <w:p>
      <w:pPr>
        <w:pStyle w:val="BodyText"/>
      </w:pPr>
      <w:r>
        <w:rPr>
          <w:bCs/>
          <w:b/>
        </w:rPr>
        <w:t xml:space="preserve">Professional License No.:</w:t>
      </w:r>
      <w:r>
        <w:t xml:space="preserve"> </w:t>
      </w:r>
      <w:r>
        <w:t xml:space="preserve">EAA-2019-0342 (Egyptian Auditors Authority)</w:t>
      </w:r>
    </w:p>
    <w:p>
      <w:pPr>
        <w:pStyle w:val="BodyText"/>
      </w:pPr>
      <w:r>
        <w:rPr>
          <w:bCs/>
          <w:b/>
        </w:rPr>
        <w:t xml:space="preserve">Commercial Registration No.:</w:t>
      </w:r>
      <w:r>
        <w:t xml:space="preserve"> </w:t>
      </w:r>
      <w:r>
        <w:t xml:space="preserve">221056 (Alexandria Commercial Registry)</w:t>
      </w:r>
    </w:p>
    <w:p>
      <w:pPr>
        <w:pStyle w:val="BodyText"/>
      </w:pPr>
      <w:r>
        <w:rPr>
          <w:bCs/>
          <w:b/>
        </w:rPr>
        <w:t xml:space="preserve">Tax Identification Number (TIN):</w:t>
      </w:r>
      <w:r>
        <w:t xml:space="preserve">552-991-2283</w:t>
      </w:r>
    </w:p>
    <w:p>
      <w:pPr>
        <w:pStyle w:val="BodyText"/>
      </w:pPr>
      <w:r>
        <w:rPr>
          <w:bCs/>
          <w:b/>
        </w:rPr>
        <w:t xml:space="preserve">Lead Auditor:</w:t>
      </w:r>
      <w:r>
        <w:t xml:space="preserve"> </w:t>
      </w:r>
      <w:r>
        <w:t xml:space="preserve">Dr. Hanaa Mostafa, Certified Public Accountant (CPA – Egypt)</w:t>
      </w:r>
    </w:p>
    <w:p>
      <w:pPr>
        <w:pStyle w:val="BodyText"/>
      </w:pPr>
      <w:r>
        <w:rPr>
          <w:bCs/>
          <w:b/>
        </w:rPr>
        <w:t xml:space="preserve">Contact:</w:t>
      </w:r>
      <w:r>
        <w:t xml:space="preserve"> </w:t>
      </w:r>
      <w:r>
        <w:t xml:space="preserve">+20 3 555 8890 | engagements@maap-alex.com</w:t>
      </w:r>
    </w:p>
    <w:bookmarkEnd w:id="23"/>
    <w:bookmarkStart w:id="24" w:name="scope-of-auditor-services"/>
    <w:p>
      <w:pPr>
        <w:pStyle w:val="Heading2"/>
      </w:pPr>
      <w:r>
        <w:t xml:space="preserve">4. Scope of Auditor Services</w:t>
      </w:r>
    </w:p>
    <w:p>
      <w:pPr>
        <w:pStyle w:val="FirstParagraph"/>
      </w:pPr>
      <w:r>
        <w:t xml:space="preserve">This Purchase Order is issued by Alexandria Coastal Industrial Holdings S.A.E. to engage the services of a qualified</w:t>
      </w:r>
      <w:r>
        <w:t xml:space="preserve"> </w:t>
      </w:r>
      <w:r>
        <w:t xml:space="preserve">Auditor</w:t>
      </w:r>
      <w:r>
        <w:t xml:space="preserve"> </w:t>
      </w:r>
      <w:r>
        <w:t xml:space="preserve">firm for the comprehensive financial and operational audit of the company's fiscal year 2024–2025. The</w:t>
      </w:r>
      <w:r>
        <w:t xml:space="preserve"> </w:t>
      </w:r>
      <w:r>
        <w:t xml:space="preserve">Auditor</w:t>
      </w:r>
      <w:r>
        <w:t xml:space="preserve"> </w:t>
      </w:r>
      <w:r>
        <w:t xml:space="preserve">shall perform all procedures in accordance with the International Standards on Auditing (ISA) as adopted by the Egyptian Auditors Authority and the Egyptian Financial Accounting Standards (EFAS). The engagement is to be conducted primarily at the company's headquarters in</w:t>
      </w:r>
      <w:r>
        <w:t xml:space="preserve"> </w:t>
      </w:r>
      <w:r>
        <w:t xml:space="preserve">Egypt Alexandria</w:t>
      </w:r>
      <w:r>
        <w:t xml:space="preserve">, with supplementary fieldwork at the company's manufacturing facilities located in the Borg El-Arab Industrial Zone, Alexandria Governorate.</w:t>
      </w:r>
    </w:p>
    <w:p>
      <w:pPr>
        <w:pStyle w:val="BodyText"/>
      </w:pPr>
      <w:r>
        <w:t xml:space="preserve">The</w:t>
      </w:r>
      <w:r>
        <w:t xml:space="preserve"> </w:t>
      </w:r>
      <w:r>
        <w:t xml:space="preserve">Auditor</w:t>
      </w:r>
      <w:r>
        <w:t xml:space="preserve"> </w:t>
      </w:r>
      <w:r>
        <w:t xml:space="preserve">shall deliver an independent opinion on the truthfulness and fairness of the financial statements, assess internal control systems, verify compliance with Egyptian tax law (including the Egyptian Tax Authority regulations applicable in Alexandria), and provide a management letter detailing any material weaknesses identified during the audit process.</w:t>
      </w:r>
    </w:p>
    <w:bookmarkEnd w:id="24"/>
    <w:bookmarkStart w:id="25" w:name="line-items-and-pricing"/>
    <w:p>
      <w:pPr>
        <w:pStyle w:val="Heading2"/>
      </w:pPr>
      <w:r>
        <w:t xml:space="preserve">5. Line Items and Pricing</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Auditor Service</w:t>
            </w:r>
          </w:p>
        </w:tc>
        <w:tc>
          <w:tcPr/>
          <w:p>
            <w:pPr>
              <w:pStyle w:val="Compact"/>
              <w:jc w:val="left"/>
            </w:pPr>
            <w:r>
              <w:t xml:space="preserve">Quantity</w:t>
            </w:r>
          </w:p>
        </w:tc>
        <w:tc>
          <w:tcPr/>
          <w:p>
            <w:pPr>
              <w:pStyle w:val="Compact"/>
              <w:jc w:val="left"/>
            </w:pPr>
            <w:r>
              <w:t xml:space="preserve">Unit Price (EGP)</w:t>
            </w:r>
          </w:p>
        </w:tc>
        <w:tc>
          <w:tcPr/>
          <w:p>
            <w:pPr>
              <w:pStyle w:val="Compact"/>
              <w:jc w:val="left"/>
            </w:pPr>
            <w:r>
              <w:t xml:space="preserve">Total (EGP)</w:t>
            </w:r>
          </w:p>
        </w:tc>
      </w:tr>
      <w:tr>
        <w:tc>
          <w:tcPr/>
          <w:p>
            <w:pPr>
              <w:pStyle w:val="Compact"/>
              <w:jc w:val="left"/>
            </w:pPr>
            <w:r>
              <w:t xml:space="preserve">01</w:t>
            </w:r>
          </w:p>
        </w:tc>
        <w:tc>
          <w:tcPr/>
          <w:p>
            <w:pPr>
              <w:pStyle w:val="Compact"/>
              <w:jc w:val="left"/>
            </w:pPr>
            <w:r>
              <w:t xml:space="preserve">Annual Financial Statement Audit (Balance Sheet, Income Statement, Cash Flow) – Lead Auditor and team of 4</w:t>
            </w:r>
          </w:p>
        </w:tc>
        <w:tc>
          <w:tcPr/>
          <w:p>
            <w:pPr>
              <w:pStyle w:val="Compact"/>
              <w:jc w:val="left"/>
            </w:pPr>
            <w:r>
              <w:t xml:space="preserve">1 engagement</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02</w:t>
            </w:r>
          </w:p>
        </w:tc>
        <w:tc>
          <w:tcPr/>
          <w:p>
            <w:pPr>
              <w:pStyle w:val="Compact"/>
              <w:jc w:val="left"/>
            </w:pPr>
            <w:r>
              <w:t xml:space="preserve">Internal Control Assessment and SOX-equivalent Compliance Review</w:t>
            </w:r>
          </w:p>
        </w:tc>
        <w:tc>
          <w:tcPr/>
          <w:p>
            <w:pPr>
              <w:pStyle w:val="Compact"/>
              <w:jc w:val="left"/>
            </w:pPr>
            <w:r>
              <w:t xml:space="preserve">1 engagement</w:t>
            </w:r>
          </w:p>
        </w:tc>
        <w:tc>
          <w:tcPr/>
          <w:p>
            <w:pPr>
              <w:pStyle w:val="Compact"/>
              <w:jc w:val="left"/>
            </w:pPr>
            <w:r>
              <w:t xml:space="preserve">95,000</w:t>
            </w:r>
          </w:p>
        </w:tc>
        <w:tc>
          <w:tcPr/>
          <w:p>
            <w:pPr>
              <w:pStyle w:val="Compact"/>
              <w:jc w:val="left"/>
            </w:pPr>
            <w:r>
              <w:t xml:space="preserve">95,000</w:t>
            </w:r>
          </w:p>
        </w:tc>
      </w:tr>
      <w:tr>
        <w:tc>
          <w:tcPr/>
          <w:p>
            <w:pPr>
              <w:pStyle w:val="Compact"/>
              <w:jc w:val="left"/>
            </w:pPr>
            <w:r>
              <w:t xml:space="preserve">03</w:t>
            </w:r>
          </w:p>
        </w:tc>
        <w:tc>
          <w:tcPr/>
          <w:p>
            <w:pPr>
              <w:pStyle w:val="Compact"/>
              <w:jc w:val="left"/>
            </w:pPr>
            <w:r>
              <w:t xml:space="preserve">Tax Compliance Verification (Egyptian Tax Authority – Alexandria Branch)</w:t>
            </w:r>
          </w:p>
        </w:tc>
        <w:tc>
          <w:tcPr/>
          <w:p>
            <w:pPr>
              <w:pStyle w:val="Compact"/>
              <w:jc w:val="left"/>
            </w:pPr>
            <w:r>
              <w:t xml:space="preserve">1 engagement</w:t>
            </w:r>
          </w:p>
        </w:tc>
        <w:tc>
          <w:tcPr/>
          <w:p>
            <w:pPr>
              <w:pStyle w:val="Compact"/>
              <w:jc w:val="left"/>
            </w:pPr>
            <w:r>
              <w:t xml:space="preserve">48,000</w:t>
            </w:r>
          </w:p>
        </w:tc>
        <w:tc>
          <w:tcPr/>
          <w:p>
            <w:pPr>
              <w:pStyle w:val="Compact"/>
              <w:jc w:val="left"/>
            </w:pPr>
            <w:r>
              <w:t xml:space="preserve">48,000</w:t>
            </w:r>
          </w:p>
        </w:tc>
      </w:tr>
      <w:tr>
        <w:tc>
          <w:tcPr/>
          <w:p>
            <w:pPr>
              <w:pStyle w:val="Compact"/>
              <w:jc w:val="left"/>
            </w:pPr>
            <w:r>
              <w:t xml:space="preserve">04</w:t>
            </w:r>
          </w:p>
        </w:tc>
        <w:tc>
          <w:tcPr/>
          <w:p>
            <w:pPr>
              <w:pStyle w:val="Compact"/>
              <w:jc w:val="left"/>
            </w:pPr>
            <w:r>
              <w:t xml:space="preserve">Fieldwork at Borg El-Arab Manufacturing Plant (Auditor on-site, 10 working days)</w:t>
            </w:r>
          </w:p>
        </w:tc>
        <w:tc>
          <w:tcPr/>
          <w:p>
            <w:pPr>
              <w:pStyle w:val="Compact"/>
              <w:jc w:val="left"/>
            </w:pPr>
            <w:r>
              <w:t xml:space="preserve">10 days</w:t>
            </w:r>
          </w:p>
        </w:tc>
        <w:tc>
          <w:tcPr/>
          <w:p>
            <w:pPr>
              <w:pStyle w:val="Compact"/>
              <w:jc w:val="left"/>
            </w:pPr>
            <w:r>
              <w:t xml:space="preserve">6,500</w:t>
            </w:r>
          </w:p>
        </w:tc>
        <w:tc>
          <w:tcPr/>
          <w:p>
            <w:pPr>
              <w:pStyle w:val="Compact"/>
              <w:jc w:val="left"/>
            </w:pPr>
            <w:r>
              <w:t xml:space="preserve">65,000</w:t>
            </w:r>
          </w:p>
        </w:tc>
      </w:tr>
      <w:tr>
        <w:tc>
          <w:tcPr/>
          <w:p>
            <w:pPr>
              <w:pStyle w:val="Compact"/>
              <w:jc w:val="left"/>
            </w:pPr>
            <w:r>
              <w:t xml:space="preserve">05</w:t>
            </w:r>
          </w:p>
        </w:tc>
        <w:tc>
          <w:tcPr/>
          <w:p>
            <w:pPr>
              <w:pStyle w:val="Compact"/>
              <w:jc w:val="left"/>
            </w:pPr>
            <w:r>
              <w:t xml:space="preserve">Management Letter and Remediation Advisory Report</w:t>
            </w:r>
          </w:p>
        </w:tc>
        <w:tc>
          <w:tcPr/>
          <w:p>
            <w:pPr>
              <w:pStyle w:val="Compact"/>
              <w:jc w:val="left"/>
            </w:pPr>
            <w:r>
              <w:t xml:space="preserve">1 report</w:t>
            </w:r>
          </w:p>
        </w:tc>
        <w:tc>
          <w:tcPr/>
          <w:p>
            <w:pPr>
              <w:pStyle w:val="Compact"/>
              <w:jc w:val="left"/>
            </w:pPr>
            <w:r>
              <w:t xml:space="preserve">32,000</w:t>
            </w:r>
          </w:p>
        </w:tc>
        <w:tc>
          <w:tcPr/>
          <w:p>
            <w:pPr>
              <w:pStyle w:val="Compact"/>
              <w:jc w:val="left"/>
            </w:pPr>
            <w:r>
              <w:t xml:space="preserve">32,000</w:t>
            </w:r>
          </w:p>
        </w:tc>
      </w:tr>
      <w:tr>
        <w:tc>
          <w:tcPr/>
          <w:p>
            <w:pPr>
              <w:pStyle w:val="Compact"/>
              <w:jc w:val="left"/>
            </w:pPr>
            <w:r>
              <w:t xml:space="preserve">06</w:t>
            </w:r>
          </w:p>
        </w:tc>
        <w:tc>
          <w:tcPr/>
          <w:p>
            <w:pPr>
              <w:pStyle w:val="Compact"/>
              <w:jc w:val="left"/>
            </w:pPr>
            <w:r>
              <w:t xml:space="preserve">Post-Audit Consultation (3 hours with Lead Auditor)</w:t>
            </w:r>
          </w:p>
        </w:tc>
        <w:tc>
          <w:tcPr/>
          <w:p>
            <w:pPr>
              <w:pStyle w:val="Compact"/>
              <w:jc w:val="left"/>
            </w:pPr>
            <w:r>
              <w:t xml:space="preserve">3 hours</w:t>
            </w:r>
          </w:p>
        </w:tc>
        <w:tc>
          <w:tcPr/>
          <w:p>
            <w:pPr>
              <w:pStyle w:val="Compact"/>
              <w:jc w:val="left"/>
            </w:pPr>
            <w:r>
              <w:t xml:space="preserve">4,000</w:t>
            </w:r>
          </w:p>
        </w:tc>
        <w:tc>
          <w:tcPr/>
          <w:p>
            <w:pPr>
              <w:pStyle w:val="Compact"/>
              <w:jc w:val="left"/>
            </w:pPr>
            <w:r>
              <w:t xml:space="preserve">12,000</w:t>
            </w:r>
          </w:p>
        </w:tc>
      </w:tr>
      <w:tr>
        <w:tc>
          <w:tcPr>
            <w:gridSpan w:val="4"/>
          </w:tcPr>
          <w:p>
            <w:pPr>
              <w:pStyle w:val="Compact"/>
              <w:jc w:val="left"/>
            </w:pPr>
            <w:r>
              <w:t xml:space="preserve">Subtotal</w:t>
            </w:r>
          </w:p>
        </w:tc>
        <w:tc>
          <w:tcPr/>
          <w:p>
            <w:pPr>
              <w:pStyle w:val="Compact"/>
              <w:jc w:val="left"/>
            </w:pPr>
            <w:r>
              <w:t xml:space="preserve">437,000</w:t>
            </w:r>
          </w:p>
        </w:tc>
      </w:tr>
      <w:tr>
        <w:tc>
          <w:tcPr>
            <w:gridSpan w:val="4"/>
          </w:tcPr>
          <w:p>
            <w:pPr>
              <w:pStyle w:val="Compact"/>
              <w:jc w:val="left"/>
            </w:pPr>
            <w:r>
              <w:t xml:space="preserve">VAT (14% – Egyptian Value Added Tax)</w:t>
            </w:r>
          </w:p>
        </w:tc>
        <w:tc>
          <w:tcPr/>
          <w:p>
            <w:pPr>
              <w:pStyle w:val="Compact"/>
              <w:jc w:val="left"/>
            </w:pPr>
            <w:r>
              <w:t xml:space="preserve">61,180</w:t>
            </w:r>
          </w:p>
        </w:tc>
      </w:tr>
      <w:tr>
        <w:tc>
          <w:tcPr>
            <w:gridSpan w:val="4"/>
          </w:tcPr>
          <w:p>
            <w:pPr>
              <w:pStyle w:val="Compact"/>
              <w:jc w:val="left"/>
            </w:pPr>
            <w:r>
              <w:rPr>
                <w:bCs/>
                <w:b/>
              </w:rPr>
              <w:t xml:space="preserve">Grand Total (EGP)</w:t>
            </w:r>
          </w:p>
        </w:tc>
        <w:tc>
          <w:tcPr/>
          <w:p>
            <w:pPr>
              <w:pStyle w:val="Compact"/>
              <w:jc w:val="left"/>
            </w:pPr>
            <w:r>
              <w:rPr>
                <w:bCs/>
                <w:b/>
              </w:rPr>
              <w:t xml:space="preserve">498,180</w:t>
            </w:r>
          </w:p>
        </w:tc>
      </w:tr>
    </w:tbl>
    <w:bookmarkEnd w:id="25"/>
    <w:bookmarkStart w:id="26" w:name="X5cf958817e8965cd21d7b62be5a478f52fd87ea"/>
    <w:p>
      <w:pPr>
        <w:pStyle w:val="Heading2"/>
      </w:pPr>
      <w:r>
        <w:t xml:space="preserve">6. Terms and Conditions of the Purchase Order</w:t>
      </w:r>
    </w:p>
    <w:p>
      <w:pPr>
        <w:numPr>
          <w:ilvl w:val="0"/>
          <w:numId w:val="1001"/>
        </w:numPr>
        <w:pStyle w:val="Compact"/>
      </w:pPr>
      <w:r>
        <w:rPr>
          <w:bCs/>
          <w:b/>
        </w:rPr>
        <w:t xml:space="preserve">Acceptance:</w:t>
      </w:r>
      <w:r>
        <w:t xml:space="preserve"> </w:t>
      </w:r>
      <w:r>
        <w:t xml:space="preserve">This Purchase Order shall become a binding contract upon written acceptance by the</w:t>
      </w:r>
      <w:r>
        <w:t xml:space="preserve"> </w:t>
      </w:r>
      <w:r>
        <w:t xml:space="preserve">Auditor</w:t>
      </w:r>
      <w:r>
        <w:t xml:space="preserve"> </w:t>
      </w:r>
      <w:r>
        <w:t xml:space="preserve">firm within five (5) business days of the date of issue. Failure to respond within this period shall constitute a declination of this Purchase Order.</w:t>
      </w:r>
    </w:p>
    <w:p>
      <w:pPr>
        <w:numPr>
          <w:ilvl w:val="0"/>
          <w:numId w:val="1001"/>
        </w:numPr>
        <w:pStyle w:val="Compact"/>
      </w:pPr>
      <w:r>
        <w:rPr>
          <w:bCs/>
          <w:b/>
        </w:rPr>
        <w:t xml:space="preserve">Payment Terms:</w:t>
      </w:r>
      <w:r>
        <w:t xml:space="preserve"> </w:t>
      </w:r>
      <w:r>
        <w:t xml:space="preserve">Payment shall be made in three installments: 30% upon execution of this Purchase Order, 40% upon completion of fieldwork in</w:t>
      </w:r>
      <w:r>
        <w:t xml:space="preserve"> </w:t>
      </w:r>
      <w:r>
        <w:t xml:space="preserve">Egypt Alexandria</w:t>
      </w:r>
      <w:r>
        <w:t xml:space="preserve">, and 30% upon delivery of the final audit report and management letter. All payments shall be made via bank transfer to the account designated by the</w:t>
      </w:r>
      <w:r>
        <w:t xml:space="preserve"> </w:t>
      </w:r>
      <w:r>
        <w:t xml:space="preserve">Auditor</w:t>
      </w:r>
      <w:r>
        <w:t xml:space="preserve"> </w:t>
      </w:r>
      <w:r>
        <w:t xml:space="preserve">firm, domiciled at a licensed bank in Alexandria, Egypt.</w:t>
      </w:r>
    </w:p>
    <w:p>
      <w:pPr>
        <w:numPr>
          <w:ilvl w:val="0"/>
          <w:numId w:val="1001"/>
        </w:numPr>
        <w:pStyle w:val="Compact"/>
      </w:pPr>
      <w:r>
        <w:rPr>
          <w:bCs/>
          <w:b/>
        </w:rPr>
        <w:t xml:space="preserve">Timeline:</w:t>
      </w:r>
      <w:r>
        <w:t xml:space="preserve"> </w:t>
      </w:r>
      <w:r>
        <w:t xml:space="preserve">The</w:t>
      </w:r>
      <w:r>
        <w:t xml:space="preserve"> </w:t>
      </w:r>
      <w:r>
        <w:t xml:space="preserve">Auditor</w:t>
      </w:r>
      <w:r>
        <w:t xml:space="preserve"> </w:t>
      </w:r>
      <w:r>
        <w:t xml:space="preserve">shall commence fieldwork no later than 1 July 2025 and shall deliver the final audit opinion no later than 30 September 2025. Any delay attributable to the</w:t>
      </w:r>
      <w:r>
        <w:t xml:space="preserve"> </w:t>
      </w:r>
      <w:r>
        <w:t xml:space="preserve">Auditor</w:t>
      </w:r>
      <w:r>
        <w:t xml:space="preserve"> </w:t>
      </w:r>
      <w:r>
        <w:t xml:space="preserve">shall incur a penalty of 0.5% of the total Purchase Order value per calendar day of delay, capped at 10%.</w:t>
      </w:r>
    </w:p>
    <w:p>
      <w:pPr>
        <w:numPr>
          <w:ilvl w:val="0"/>
          <w:numId w:val="1001"/>
        </w:numPr>
        <w:pStyle w:val="Compact"/>
      </w:pPr>
      <w:r>
        <w:rPr>
          <w:bCs/>
          <w:b/>
        </w:rPr>
        <w:t xml:space="preserve">Confidentiality:</w:t>
      </w:r>
      <w:r>
        <w:t xml:space="preserve"> </w:t>
      </w:r>
      <w:r>
        <w:t xml:space="preserve">The</w:t>
      </w:r>
      <w:r>
        <w:t xml:space="preserve"> </w:t>
      </w:r>
      <w:r>
        <w:t xml:space="preserve">Auditor</w:t>
      </w:r>
      <w:r>
        <w:t xml:space="preserve"> </w:t>
      </w:r>
      <w:r>
        <w:t xml:space="preserve">and all personnel engaged under this Purchase Order shall maintain strict confidentiality of all financial records, trade secrets, and proprietary information of the Buyer. This obligation shall survive the termination of this Purchase Order for a period of five (5) years.</w:t>
      </w:r>
    </w:p>
    <w:p>
      <w:pPr>
        <w:numPr>
          <w:ilvl w:val="0"/>
          <w:numId w:val="1001"/>
        </w:numPr>
        <w:pStyle w:val="Compact"/>
      </w:pPr>
      <w:r>
        <w:rPr>
          <w:bCs/>
          <w:b/>
        </w:rPr>
        <w:t xml:space="preserve">Professional Standards:</w:t>
      </w:r>
      <w:r>
        <w:t xml:space="preserve"> </w:t>
      </w:r>
      <w:r>
        <w:t xml:space="preserve">The</w:t>
      </w:r>
      <w:r>
        <w:t xml:space="preserve"> </w:t>
      </w:r>
      <w:r>
        <w:t xml:space="preserve">Auditor</w:t>
      </w:r>
      <w:r>
        <w:t xml:space="preserve"> </w:t>
      </w:r>
      <w:r>
        <w:t xml:space="preserve">shall perform all services in strict compliance with the Egyptian Auditors Authority regulations, the Egyptian Companies Law No. 159 of 1981 (as amended), and applicable international auditing standards. The</w:t>
      </w:r>
      <w:r>
        <w:t xml:space="preserve"> </w:t>
      </w:r>
      <w:r>
        <w:t xml:space="preserve">Auditor</w:t>
      </w:r>
      <w:r>
        <w:t xml:space="preserve"> </w:t>
      </w:r>
      <w:r>
        <w:t xml:space="preserve">shall maintain professional independence and shall disclose any potential conflict of interest prior to commencing work.</w:t>
      </w:r>
    </w:p>
    <w:p>
      <w:pPr>
        <w:numPr>
          <w:ilvl w:val="0"/>
          <w:numId w:val="1001"/>
        </w:numPr>
        <w:pStyle w:val="Compact"/>
      </w:pPr>
      <w:r>
        <w:rPr>
          <w:bCs/>
          <w:b/>
        </w:rPr>
        <w:t xml:space="preserve">Dispute Resolution:</w:t>
      </w:r>
      <w:r>
        <w:t xml:space="preserve"> </w:t>
      </w:r>
      <w:r>
        <w:t xml:space="preserve">Any dispute arising from or in connection with this Purchase Order shall be resolved through amicable negotiation. Failing resolution within thirty (30) days, the dispute shall be submitted to the competent courts of Alexandria, Egypt, or to arbitration under the rules of the Egyptian Arbitration Centre, with the seat of arbitration in Alexandria.</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events beyond reasonable control, including but not limited to natural disasters, government sanctions, or public health emergencies affecting the Alexandria region.</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the Buyer shall pay the</w:t>
      </w:r>
      <w:r>
        <w:t xml:space="preserve"> </w:t>
      </w:r>
      <w:r>
        <w:t xml:space="preserve">Auditor</w:t>
      </w:r>
      <w:r>
        <w:t xml:space="preserve"> </w:t>
      </w:r>
      <w:r>
        <w:t xml:space="preserve">for all services rendered up to the date of termination, less any applicable deductions.</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Arab Republic of Egypt, with particular reference to regulations applicable in the Alexandria Governorate.</w:t>
      </w:r>
    </w:p>
    <w:bookmarkEnd w:id="26"/>
    <w:bookmarkStart w:id="27" w:name="deliverables"/>
    <w:p>
      <w:pPr>
        <w:pStyle w:val="Heading2"/>
      </w:pPr>
      <w:r>
        <w:t xml:space="preserve">7. Deliverables</w:t>
      </w:r>
    </w:p>
    <w:p>
      <w:pPr>
        <w:pStyle w:val="FirstParagraph"/>
      </w:pPr>
      <w:r>
        <w:t xml:space="preserve">The</w:t>
      </w:r>
      <w:r>
        <w:t xml:space="preserve"> </w:t>
      </w:r>
      <w:r>
        <w:t xml:space="preserve">Auditor</w:t>
      </w:r>
      <w:r>
        <w:t xml:space="preserve"> </w:t>
      </w:r>
      <w:r>
        <w:t xml:space="preserve">shall deliver the following documents to the Buyer's offices in</w:t>
      </w:r>
      <w:r>
        <w:t xml:space="preserve"> </w:t>
      </w:r>
      <w:r>
        <w:t xml:space="preserve">Egypt Alexandria</w:t>
      </w:r>
      <w:r>
        <w:t xml:space="preserve">:</w:t>
      </w:r>
    </w:p>
    <w:p>
      <w:pPr>
        <w:numPr>
          <w:ilvl w:val="0"/>
          <w:numId w:val="1002"/>
        </w:numPr>
        <w:pStyle w:val="Compact"/>
      </w:pPr>
      <w:r>
        <w:t xml:space="preserve">Final Audit Report with Independent Auditor's Opinion (3 hard copies + 1 digital copy in PDF format)</w:t>
      </w:r>
    </w:p>
    <w:p>
      <w:pPr>
        <w:numPr>
          <w:ilvl w:val="0"/>
          <w:numId w:val="1002"/>
        </w:numPr>
        <w:pStyle w:val="Compact"/>
      </w:pPr>
      <w:r>
        <w:t xml:space="preserve">Management Letter identifying internal control deficiencies and recommended remediations</w:t>
      </w:r>
    </w:p>
    <w:p>
      <w:pPr>
        <w:numPr>
          <w:ilvl w:val="0"/>
          <w:numId w:val="1002"/>
        </w:numPr>
        <w:pStyle w:val="Compact"/>
      </w:pPr>
      <w:r>
        <w:t xml:space="preserve">Tax Compliance Certificate confirming alignment with Egyptian Tax Authority requirements</w:t>
      </w:r>
    </w:p>
    <w:p>
      <w:pPr>
        <w:numPr>
          <w:ilvl w:val="0"/>
          <w:numId w:val="1002"/>
        </w:numPr>
        <w:pStyle w:val="Compact"/>
      </w:pPr>
      <w:r>
        <w:t xml:space="preserve">Internal Control Assessment Report with risk matrix</w:t>
      </w:r>
    </w:p>
    <w:p>
      <w:pPr>
        <w:numPr>
          <w:ilvl w:val="0"/>
          <w:numId w:val="1002"/>
        </w:numPr>
        <w:pStyle w:val="Compact"/>
      </w:pPr>
      <w:r>
        <w:t xml:space="preserve">Working papers summary (available for inspection upon request)</w:t>
      </w:r>
    </w:p>
    <w:bookmarkEnd w:id="27"/>
    <w:bookmarkStart w:id="28" w:name="authorization-and-signatures"/>
    <w:p>
      <w:pPr>
        <w:pStyle w:val="Heading2"/>
      </w:pPr>
      <w:r>
        <w:t xml:space="preserve">8. Authorization and Signatures</w:t>
      </w:r>
    </w:p>
    <w:p>
      <w:pPr>
        <w:pStyle w:val="FirstParagraph"/>
      </w:pPr>
      <w:r>
        <w:t xml:space="preserve">This Purchase Order is issued and authorized by the undersigned on behalf of Alexandria Coastal Industrial Holdings S.A.E., and is accepted by the undersigned on behalf of the</w:t>
      </w:r>
      <w:r>
        <w:t xml:space="preserve"> </w:t>
      </w:r>
      <w:r>
        <w:t xml:space="preserve">Auditor</w:t>
      </w:r>
      <w:r>
        <w:t xml:space="preserve"> </w:t>
      </w:r>
      <w:r>
        <w:t xml:space="preserve">firm, Mediterranean Assurance &amp; Audit Partners.</w:t>
      </w:r>
    </w:p>
    <w:p>
      <w:pPr>
        <w:pStyle w:val="BodyText"/>
      </w:pPr>
      <w:r>
        <w:rPr>
          <w:bCs/>
          <w:b/>
        </w:rPr>
        <w:t xml:space="preserve">For the Buyer:</w:t>
      </w:r>
      <w:r>
        <w:br/>
      </w:r>
      <w:r>
        <w:t xml:space="preserve">Mr. Tarek El-Sayed</w:t>
      </w:r>
      <w:r>
        <w:br/>
      </w:r>
      <w:r>
        <w:t xml:space="preserve">Chief Financial Officer</w:t>
      </w:r>
      <w:r>
        <w:br/>
      </w:r>
      <w:r>
        <w:t xml:space="preserve">Alexandria Coastal Industrial Holdings S.A.E.</w:t>
      </w:r>
      <w:r>
        <w:br/>
      </w:r>
      <w:r>
        <w:t xml:space="preserve">Date: _______________</w:t>
      </w:r>
    </w:p>
    <w:p>
      <w:pPr>
        <w:pStyle w:val="BodyText"/>
      </w:pPr>
      <w:r>
        <w:rPr>
          <w:bCs/>
          <w:b/>
        </w:rPr>
        <w:t xml:space="preserve">For the Auditor (Supplier):</w:t>
      </w:r>
      <w:r>
        <w:br/>
      </w:r>
      <w:r>
        <w:t xml:space="preserve">Dr. Hanaa Mostafa</w:t>
      </w:r>
      <w:r>
        <w:br/>
      </w:r>
      <w:r>
        <w:t xml:space="preserve">Lead Auditor / Managing Partner</w:t>
      </w:r>
      <w:r>
        <w:br/>
      </w:r>
      <w:r>
        <w:t xml:space="preserve">Mediterranean Assurance &amp; Audit Partners</w:t>
      </w:r>
      <w:r>
        <w:br/>
      </w:r>
      <w:r>
        <w:t xml:space="preserve">Date: _______________</w:t>
      </w:r>
    </w:p>
    <w:bookmarkEnd w:id="28"/>
    <w:p>
      <w:pPr>
        <w:pStyle w:val="BodyText"/>
      </w:pPr>
      <w:r>
        <w:t xml:space="preserve">This Purchase Order (EGY-ALX-2025-0047) was prepared and issued in</w:t>
      </w:r>
      <w:r>
        <w:t xml:space="preserve"> </w:t>
      </w:r>
      <w:r>
        <w:t xml:space="preserve">Egypt Alexandria</w:t>
      </w:r>
      <w:r>
        <w:t xml:space="preserve"> </w:t>
      </w:r>
      <w:r>
        <w:t xml:space="preserve">on 15 June 2025. This document constitutes a formal procurement instrument for</w:t>
      </w:r>
      <w:r>
        <w:t xml:space="preserve"> </w:t>
      </w:r>
      <w:r>
        <w:t xml:space="preserve">Auditor</w:t>
      </w:r>
      <w:r>
        <w:t xml:space="preserve"> </w:t>
      </w:r>
      <w:r>
        <w:t xml:space="preserve">services and is subject to the terms and conditions set forth herein. All references to Egyptian law and regulation are to the statutes in force as of the date of issue. This Purchase Order is valid for acceptance until 22 June 2025.</w:t>
      </w:r>
    </w:p>
    <w:p>
      <w:pPr>
        <w:pStyle w:val="BodyText"/>
      </w:pPr>
      <w:r>
        <w:t xml:space="preserve">Document Reference: PO-EGY-ALX-2025-0047 | Page 1 of 1 | Confidential – For Business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Auditor Services - Egypt Alexandria</dc:title>
  <dc:creator/>
  <dc:language>en</dc:language>
  <cp:keywords/>
  <dcterms:created xsi:type="dcterms:W3CDTF">2026-10-10T01:20:27Z</dcterms:created>
  <dcterms:modified xsi:type="dcterms:W3CDTF">2026-10-10T01:20:27Z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