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rPr>
          <w:bCs/>
          <w:b/>
        </w:rPr>
        <w:t xml:space="preserve">Nile Delta Financial Holdings S.A.E.</w:t>
      </w:r>
    </w:p>
    <w:p>
      <w:pPr>
        <w:pStyle w:val="BodyText"/>
      </w:pPr>
      <w:r>
        <w:t xml:space="preserve">12 Tahrir Square, Downtown, Egypt Cairo, 11511</w:t>
      </w:r>
    </w:p>
    <w:p>
      <w:pPr>
        <w:pStyle w:val="BodyText"/>
      </w:pPr>
      <w:r>
        <w:t xml:space="preserve">Commercial Registration No. 482910 | Tax ID: 552-883-1047</w:t>
      </w:r>
    </w:p>
    <w:p>
      <w:pPr>
        <w:pStyle w:val="BodyText"/>
      </w:pPr>
      <w:r>
        <w:t xml:space="preserve">Tel: +20 2 2578 4410 | Email: procurement@niledeltafh.com.eg</w:t>
      </w:r>
    </w:p>
    <w:bookmarkEnd w:id="20"/>
    <w:p>
      <w:pPr>
        <w:pStyle w:val="BodyText"/>
      </w:pPr>
      <w:r>
        <w:rPr>
          <w:bCs/>
          <w:b/>
        </w:rPr>
        <w:t xml:space="preserve">Purchase Order No.:</w:t>
      </w:r>
      <w:r>
        <w:t xml:space="preserve"> </w:t>
      </w:r>
      <w:r>
        <w:t xml:space="preserve">PO-EGC-2025-04782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Department:</w:t>
      </w:r>
      <w:r>
        <w:t xml:space="preserve"> </w:t>
      </w:r>
      <w:r>
        <w:t xml:space="preserve">Internal Audit &amp; Compliance</w:t>
      </w:r>
    </w:p>
    <w:p>
      <w:pPr>
        <w:pStyle w:val="BodyText"/>
      </w:pPr>
      <w:r>
        <w:rPr>
          <w:bCs/>
          <w:b/>
        </w:rPr>
        <w:t xml:space="preserve">Project Ref:</w:t>
      </w:r>
      <w:r>
        <w:t xml:space="preserve"> </w:t>
      </w:r>
      <w:r>
        <w:t xml:space="preserve">FY2024 Annual Audit – Egypt Cairo Operations</w:t>
      </w:r>
    </w:p>
    <w:p>
      <w:pPr>
        <w:pStyle w:val="BodyText"/>
      </w:pPr>
      <w:r>
        <w:rPr>
          <w:bCs/>
          <w:b/>
        </w:rPr>
        <w:t xml:space="preserve">Priority:</w:t>
      </w:r>
      <w:r>
        <w:t xml:space="preserve"> </w:t>
      </w:r>
      <w:r>
        <w:t xml:space="preserve">High</w:t>
      </w:r>
    </w:p>
    <w:bookmarkStart w:id="21" w:name="vendor-auditor-information"/>
    <w:p>
      <w:pPr>
        <w:pStyle w:val="Heading2"/>
      </w:pPr>
      <w:r>
        <w:t xml:space="preserve">1. Vendor / Auditor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Vendor Name</w:t>
            </w:r>
          </w:p>
        </w:tc>
        <w:tc>
          <w:tcPr/>
          <w:p>
            <w:pPr>
              <w:pStyle w:val="Compact"/>
              <w:jc w:val="left"/>
            </w:pPr>
            <w:r>
              <w:t xml:space="preserve">Al-Nile Certified Public Accountants &amp; Auditor Services LLC</w:t>
            </w:r>
          </w:p>
        </w:tc>
      </w:tr>
      <w:tr>
        <w:tc>
          <w:tcPr/>
          <w:p>
            <w:pPr>
              <w:pStyle w:val="Compact"/>
              <w:jc w:val="left"/>
            </w:pPr>
            <w:r>
              <w:rPr>
                <w:bCs/>
                <w:b/>
              </w:rPr>
              <w:t xml:space="preserve">Address</w:t>
            </w:r>
          </w:p>
        </w:tc>
        <w:tc>
          <w:tcPr/>
          <w:p>
            <w:pPr>
              <w:pStyle w:val="Compact"/>
              <w:jc w:val="left"/>
            </w:pPr>
            <w:r>
              <w:t xml:space="preserve">45 El-Gouna Street, Zamalek District, Egypt Cairo, 11211</w:t>
            </w:r>
          </w:p>
        </w:tc>
      </w:tr>
      <w:tr>
        <w:tc>
          <w:tcPr/>
          <w:p>
            <w:pPr>
              <w:pStyle w:val="Compact"/>
              <w:jc w:val="left"/>
            </w:pPr>
            <w:r>
              <w:rPr>
                <w:bCs/>
                <w:b/>
              </w:rPr>
              <w:t xml:space="preserve">Commercial Reg. No.</w:t>
            </w:r>
          </w:p>
        </w:tc>
        <w:tc>
          <w:tcPr/>
          <w:p>
            <w:pPr>
              <w:pStyle w:val="Compact"/>
              <w:jc w:val="left"/>
            </w:pPr>
            <w:r>
              <w:t xml:space="preserve">CR-773421 (Issued by Cairo Governorate Commercial Registry)</w:t>
            </w:r>
          </w:p>
        </w:tc>
      </w:tr>
      <w:tr>
        <w:tc>
          <w:tcPr/>
          <w:p>
            <w:pPr>
              <w:pStyle w:val="Compact"/>
              <w:jc w:val="left"/>
            </w:pPr>
            <w:r>
              <w:rPr>
                <w:bCs/>
                <w:b/>
              </w:rPr>
              <w:t xml:space="preserve">Tax Identification No.</w:t>
            </w:r>
          </w:p>
        </w:tc>
        <w:tc>
          <w:tcPr/>
          <w:p>
            <w:pPr>
              <w:pStyle w:val="Compact"/>
              <w:jc w:val="left"/>
            </w:pPr>
            <w:r>
              <w:t xml:space="preserve">552-991-2238</w:t>
            </w:r>
          </w:p>
        </w:tc>
      </w:tr>
      <w:tr>
        <w:tc>
          <w:tcPr/>
          <w:p>
            <w:pPr>
              <w:pStyle w:val="Compact"/>
              <w:jc w:val="left"/>
            </w:pPr>
            <w:r>
              <w:rPr>
                <w:bCs/>
                <w:b/>
              </w:rPr>
              <w:t xml:space="preserve">ICAA License No.</w:t>
            </w:r>
          </w:p>
        </w:tc>
        <w:tc>
          <w:tcPr/>
          <w:p>
            <w:pPr>
              <w:pStyle w:val="Compact"/>
              <w:jc w:val="left"/>
            </w:pPr>
            <w:r>
              <w:t xml:space="preserve">ICAA-EG-2019-00847 (Institute of Chartered Accountants of Egypt)</w:t>
            </w:r>
          </w:p>
        </w:tc>
      </w:tr>
      <w:tr>
        <w:tc>
          <w:tcPr/>
          <w:p>
            <w:pPr>
              <w:pStyle w:val="Compact"/>
              <w:jc w:val="left"/>
            </w:pPr>
            <w:r>
              <w:rPr>
                <w:bCs/>
                <w:b/>
              </w:rPr>
              <w:t xml:space="preserve">Lead Auditor</w:t>
            </w:r>
          </w:p>
        </w:tc>
        <w:tc>
          <w:tcPr/>
          <w:p>
            <w:pPr>
              <w:pStyle w:val="Compact"/>
              <w:jc w:val="left"/>
            </w:pPr>
            <w:r>
              <w:t xml:space="preserve">Mr. Hassan El-Sayed, CPA, CFE – Senior Partner &amp; Lead Auditor</w:t>
            </w:r>
          </w:p>
        </w:tc>
      </w:tr>
      <w:tr>
        <w:tc>
          <w:tcPr/>
          <w:p>
            <w:pPr>
              <w:pStyle w:val="Compact"/>
              <w:jc w:val="left"/>
            </w:pPr>
            <w:r>
              <w:rPr>
                <w:bCs/>
                <w:b/>
              </w:rPr>
              <w:t xml:space="preserve">Contact</w:t>
            </w:r>
          </w:p>
        </w:tc>
        <w:tc>
          <w:tcPr/>
          <w:p>
            <w:pPr>
              <w:pStyle w:val="Compact"/>
              <w:jc w:val="left"/>
            </w:pPr>
            <w:r>
              <w:t xml:space="preserve">Tel: +20 2 2735 6690 | Email: contracts@alnileauditors.com.eg</w:t>
            </w:r>
          </w:p>
        </w:tc>
      </w:tr>
    </w:tbl>
    <w:bookmarkEnd w:id="21"/>
    <w:bookmarkStart w:id="22" w:name="Xeb0d612b89377d5bde300cdba309f99d50cbb85"/>
    <w:p>
      <w:pPr>
        <w:pStyle w:val="Heading2"/>
      </w:pPr>
      <w:r>
        <w:t xml:space="preserve">2. Description of Services – Auditor Engagement</w:t>
      </w:r>
    </w:p>
    <w:p>
      <w:pPr>
        <w:pStyle w:val="FirstParagraph"/>
      </w:pPr>
      <w:r>
        <w:t xml:space="preserve">This</w:t>
      </w:r>
      <w:r>
        <w:t xml:space="preserve"> </w:t>
      </w:r>
      <w:r>
        <w:t xml:space="preserve">Purchase Order</w:t>
      </w:r>
      <w:r>
        <w:t xml:space="preserve"> </w:t>
      </w:r>
      <w:r>
        <w:t xml:space="preserve">is issued by Nile Delta Financial Holdings S.A.E. to formally engage the above-named</w:t>
      </w:r>
      <w:r>
        <w:t xml:space="preserve"> </w:t>
      </w:r>
      <w:r>
        <w:t xml:space="preserve">Auditor</w:t>
      </w:r>
      <w:r>
        <w:t xml:space="preserve"> </w:t>
      </w:r>
      <w:r>
        <w:t xml:space="preserve">firm to perform a comprehensive statutory and operational audit of all financial records, internal controls, and compliance documentation pertaining to the fiscal year 2024. The scope of the</w:t>
      </w:r>
      <w:r>
        <w:t xml:space="preserve"> </w:t>
      </w:r>
      <w:r>
        <w:t xml:space="preserve">Auditor</w:t>
      </w:r>
      <w:r>
        <w:t xml:space="preserve">'s engagement is specifically limited to all business operations, branches, and subsidiaries physically located within</w:t>
      </w:r>
      <w:r>
        <w:t xml:space="preserve"> </w:t>
      </w:r>
      <w:r>
        <w:t xml:space="preserve">Egypt Cairo</w:t>
      </w:r>
      <w:r>
        <w:t xml:space="preserve">, including but not limited to the Downtown headquarters, the Maadi regional office, and the New Cairo logistics facility.</w:t>
      </w:r>
    </w:p>
    <w:p>
      <w:pPr>
        <w:pStyle w:val="BodyText"/>
      </w:pPr>
      <w:r>
        <w:t xml:space="preserve">The</w:t>
      </w:r>
      <w:r>
        <w:t xml:space="preserve"> </w:t>
      </w:r>
      <w:r>
        <w:t xml:space="preserve">Auditor</w:t>
      </w:r>
      <w:r>
        <w:t xml:space="preserve"> </w:t>
      </w:r>
      <w:r>
        <w:t xml:space="preserve">shall conduct fieldwork in accordance with International Standards on Auditing (ISA) as adopted by the Egyptian Financial Accounting Standards Authority (FASB-EG) and in full compliance with the Egyptian Companies Law No. 159 of 1981 (as amended), the Egyptian Tax Law No. 91 of 2005, and all applicable regulations issued by the Central Bank of Egypt and the Egyptian Financial Regulatory Authority (EFRA).</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Statutory Financial Statement Audit – FY2024 (all Egypt Cairo entities)</w:t>
            </w:r>
          </w:p>
        </w:tc>
        <w:tc>
          <w:tcPr/>
          <w:p>
            <w:pPr>
              <w:pStyle w:val="Compact"/>
              <w:jc w:val="left"/>
            </w:pPr>
            <w:r>
              <w:t xml:space="preserve">1 engagement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Internal Controls Assessment &amp; Risk Evaluation – Egypt Cairo Operations</w:t>
            </w:r>
          </w:p>
        </w:tc>
        <w:tc>
          <w:tcPr/>
          <w:p>
            <w:pPr>
              <w:pStyle w:val="Compact"/>
              <w:jc w:val="left"/>
            </w:pPr>
            <w:r>
              <w:t xml:space="preserve">1 engagement</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3</w:t>
            </w:r>
          </w:p>
        </w:tc>
        <w:tc>
          <w:tcPr/>
          <w:p>
            <w:pPr>
              <w:pStyle w:val="Compact"/>
              <w:jc w:val="left"/>
            </w:pPr>
            <w:r>
              <w:t xml:space="preserve">Tax Compliance Review &amp; VAT Reconciliation (Egypt Cairo branches)</w:t>
            </w:r>
          </w:p>
        </w:tc>
        <w:tc>
          <w:tcPr/>
          <w:p>
            <w:pPr>
              <w:pStyle w:val="Compact"/>
              <w:jc w:val="left"/>
            </w:pPr>
            <w:r>
              <w:t xml:space="preserve">1 engagement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Forensic Audit – Suspicious Transactions Investigation (Q3–Q4 2024)</w:t>
            </w:r>
          </w:p>
        </w:tc>
        <w:tc>
          <w:tcPr/>
          <w:p>
            <w:pPr>
              <w:pStyle w:val="Compact"/>
              <w:jc w:val="left"/>
            </w:pPr>
            <w:r>
              <w:t xml:space="preserve">1 engagement</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5</w:t>
            </w:r>
          </w:p>
        </w:tc>
        <w:tc>
          <w:tcPr/>
          <w:p>
            <w:pPr>
              <w:pStyle w:val="Compact"/>
              <w:jc w:val="left"/>
            </w:pPr>
            <w:r>
              <w:t xml:space="preserve">Management Letter &amp; Remediation Recommendations Report</w:t>
            </w:r>
          </w:p>
        </w:tc>
        <w:tc>
          <w:tcPr/>
          <w:p>
            <w:pPr>
              <w:pStyle w:val="Compact"/>
              <w:jc w:val="left"/>
            </w:pPr>
            <w:r>
              <w:t xml:space="preserve">1 report</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6</w:t>
            </w:r>
          </w:p>
        </w:tc>
        <w:tc>
          <w:tcPr/>
          <w:p>
            <w:pPr>
              <w:pStyle w:val="Compact"/>
              <w:jc w:val="left"/>
            </w:pPr>
            <w:r>
              <w:t xml:space="preserve">On-site Fieldwork – Egypt Cairo (estimated 45 auditor-days)</w:t>
            </w:r>
          </w:p>
        </w:tc>
        <w:tc>
          <w:tcPr/>
          <w:p>
            <w:pPr>
              <w:pStyle w:val="Compact"/>
              <w:jc w:val="left"/>
            </w:pPr>
            <w:r>
              <w:t xml:space="preserve">45 days</w:t>
            </w:r>
          </w:p>
        </w:tc>
        <w:tc>
          <w:tcPr/>
          <w:p>
            <w:pPr>
              <w:pStyle w:val="Compact"/>
              <w:jc w:val="left"/>
            </w:pPr>
            <w:r>
              <w:t xml:space="preserve">4,200.00</w:t>
            </w:r>
          </w:p>
        </w:tc>
        <w:tc>
          <w:tcPr/>
          <w:p>
            <w:pPr>
              <w:pStyle w:val="Compact"/>
              <w:jc w:val="left"/>
            </w:pPr>
            <w:r>
              <w:t xml:space="preserve">189,000.00</w:t>
            </w:r>
          </w:p>
        </w:tc>
      </w:tr>
      <w:tr>
        <w:tc>
          <w:tcPr>
            <w:gridSpan w:val="4"/>
          </w:tcPr>
          <w:p>
            <w:pPr>
              <w:pStyle w:val="Compact"/>
              <w:jc w:val="left"/>
            </w:pPr>
            <w:r>
              <w:rPr>
                <w:bCs/>
                <w:b/>
              </w:rPr>
              <w:t xml:space="preserve">Subtotal (EGP)</w:t>
            </w:r>
          </w:p>
        </w:tc>
        <w:tc>
          <w:tcPr/>
          <w:p>
            <w:pPr>
              <w:pStyle w:val="Compact"/>
              <w:jc w:val="left"/>
            </w:pPr>
            <w:r>
              <w:rPr>
                <w:bCs/>
                <w:b/>
              </w:rPr>
              <w:t xml:space="preserve">1,264,000.00</w:t>
            </w:r>
          </w:p>
        </w:tc>
      </w:tr>
      <w:tr>
        <w:tc>
          <w:tcPr>
            <w:gridSpan w:val="4"/>
          </w:tcPr>
          <w:p>
            <w:pPr>
              <w:pStyle w:val="Compact"/>
              <w:jc w:val="left"/>
            </w:pPr>
            <w:r>
              <w:rPr>
                <w:bCs/>
                <w:b/>
              </w:rPr>
              <w:t xml:space="preserve">VAT @ 14% (Egyptian Value Added Tax)</w:t>
            </w:r>
          </w:p>
        </w:tc>
        <w:tc>
          <w:tcPr/>
          <w:p>
            <w:pPr>
              <w:pStyle w:val="Compact"/>
              <w:jc w:val="left"/>
            </w:pPr>
            <w:r>
              <w:rPr>
                <w:bCs/>
                <w:b/>
              </w:rPr>
              <w:t xml:space="preserve">176,960.00</w:t>
            </w:r>
          </w:p>
        </w:tc>
      </w:tr>
      <w:tr>
        <w:tc>
          <w:tcPr>
            <w:gridSpan w:val="4"/>
          </w:tcPr>
          <w:p>
            <w:pPr>
              <w:pStyle w:val="Compact"/>
              <w:jc w:val="left"/>
            </w:pPr>
            <w:r>
              <w:rPr>
                <w:bCs/>
                <w:b/>
              </w:rPr>
              <w:t xml:space="preserve">GRAND TOTAL (EGP)</w:t>
            </w:r>
          </w:p>
        </w:tc>
        <w:tc>
          <w:tcPr/>
          <w:p>
            <w:pPr>
              <w:pStyle w:val="Compact"/>
              <w:jc w:val="left"/>
            </w:pPr>
            <w:r>
              <w:rPr>
                <w:bCs/>
                <w:b/>
              </w:rPr>
              <w:t xml:space="preserve">1,440,960.00</w:t>
            </w:r>
          </w:p>
        </w:tc>
      </w:tr>
    </w:tbl>
    <w:bookmarkEnd w:id="23"/>
    <w:bookmarkStart w:id="24" w:name="terms-and-conditions"/>
    <w:p>
      <w:pPr>
        <w:pStyle w:val="Heading2"/>
      </w:pPr>
      <w:r>
        <w:t xml:space="preserve">4. Terms and Conditions</w:t>
      </w:r>
    </w:p>
    <w:p>
      <w:pPr>
        <w:pStyle w:val="FirstParagraph"/>
      </w:pPr>
      <w:r>
        <w:rPr>
          <w:bCs/>
          <w:b/>
        </w:rPr>
        <w:t xml:space="preserve">4.1 Payment Terms:</w:t>
      </w:r>
      <w:r>
        <w:t xml:space="preserve"> </w:t>
      </w:r>
      <w:r>
        <w:t xml:space="preserve">Payment shall be made in Egyptian Pounds (EGP) via bank transfer to the</w:t>
      </w:r>
      <w:r>
        <w:t xml:space="preserve"> </w:t>
      </w:r>
      <w:r>
        <w:t xml:space="preserve">Auditor</w:t>
      </w:r>
      <w:r>
        <w:t xml:space="preserve">'s designated account at Commercial International Bank, Egypt Cairo branch. A 30% advance payment (EGP 432,288.00) is due upon acceptance of this</w:t>
      </w:r>
      <w:r>
        <w:t xml:space="preserve"> </w:t>
      </w:r>
      <w:r>
        <w:t xml:space="preserve">Purchase Order</w:t>
      </w:r>
      <w:r>
        <w:t xml:space="preserve">. The remaining 70% shall be paid in two equal installments: 50% upon submission of the draft audit report and 50% upon delivery of the final signed audit opinion and management letter.</w:t>
      </w:r>
    </w:p>
    <w:p>
      <w:pPr>
        <w:pStyle w:val="BodyText"/>
      </w:pPr>
      <w:r>
        <w:rPr>
          <w:bCs/>
          <w:b/>
        </w:rPr>
        <w:t xml:space="preserve">4.2 Timeline:</w:t>
      </w:r>
      <w:r>
        <w:t xml:space="preserve"> </w:t>
      </w:r>
      <w:r>
        <w:t xml:space="preserve">The</w:t>
      </w:r>
      <w:r>
        <w:t xml:space="preserve"> </w:t>
      </w:r>
      <w:r>
        <w:t xml:space="preserve">Auditor</w:t>
      </w:r>
      <w:r>
        <w:t xml:space="preserve"> </w:t>
      </w:r>
      <w:r>
        <w:t xml:space="preserve">shall commence fieldwork no later than 20 June 2025 and shall deliver the final audit report, including the unqualified or qualified opinion, no later than 30 September 2025. All interim progress reports shall be submitted to the Internal Audit &amp; Compliance Department of Nile Delta Financial Holdings, Egypt Cairo headquarters, on a bi-weekly basis.</w:t>
      </w:r>
    </w:p>
    <w:p>
      <w:pPr>
        <w:pStyle w:val="BodyText"/>
      </w:pPr>
      <w:r>
        <w:rPr>
          <w:bCs/>
          <w:b/>
        </w:rPr>
        <w:t xml:space="preserve">4.3 Confidentiality:</w:t>
      </w:r>
      <w:r>
        <w:t xml:space="preserve"> </w:t>
      </w:r>
      <w:r>
        <w:t xml:space="preserve">The</w:t>
      </w:r>
      <w:r>
        <w:t xml:space="preserve"> </w:t>
      </w:r>
      <w:r>
        <w:t xml:space="preserve">Auditor</w:t>
      </w:r>
      <w:r>
        <w:t xml:space="preserve"> </w:t>
      </w:r>
      <w:r>
        <w:t xml:space="preserve">and all personnel assigned to this engagement shall maintain strict confidentiality of all financial data, proprietary information, and trade secrets of Nile Delta Financial Holdings. This obligation survives the termination of this</w:t>
      </w:r>
      <w:r>
        <w:t xml:space="preserve"> </w:t>
      </w:r>
      <w:r>
        <w:t xml:space="preserve">Purchase Order</w:t>
      </w:r>
      <w:r>
        <w:t xml:space="preserve"> </w:t>
      </w:r>
      <w:r>
        <w:t xml:space="preserve">for a period of five (5) years in accordance with Egyptian Law No. 175 of 2018 on the Protection of Personal Data.</w:t>
      </w:r>
    </w:p>
    <w:p>
      <w:pPr>
        <w:pStyle w:val="BodyText"/>
      </w:pPr>
      <w:r>
        <w:rPr>
          <w:bCs/>
          <w:b/>
        </w:rPr>
        <w:t xml:space="preserve">4.4 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Arab Republic of Egypt. Any dispute arising from or in connection with this</w:t>
      </w:r>
      <w:r>
        <w:t xml:space="preserve"> </w:t>
      </w:r>
      <w:r>
        <w:t xml:space="preserve">Purchase Order</w:t>
      </w:r>
      <w:r>
        <w:t xml:space="preserve"> </w:t>
      </w:r>
      <w:r>
        <w:t xml:space="preserve">shall be subject to the exclusive jurisdiction of the competent courts in</w:t>
      </w:r>
      <w:r>
        <w:t xml:space="preserve"> </w:t>
      </w:r>
      <w:r>
        <w:t xml:space="preserve">Egypt Cairo</w:t>
      </w:r>
      <w:r>
        <w:t xml:space="preserve">, and the parties may, at the discretion of the buyer, refer the matter to the Egyptian Arbitration Center (EAC) located in Cairo for binding arbitration.</w:t>
      </w:r>
    </w:p>
    <w:p>
      <w:pPr>
        <w:pStyle w:val="BodyText"/>
      </w:pPr>
      <w:r>
        <w:rPr>
          <w:bCs/>
          <w:b/>
        </w:rPr>
        <w:t xml:space="preserve">4.5 Professional Standards:</w:t>
      </w:r>
      <w:r>
        <w:t xml:space="preserve"> </w:t>
      </w:r>
      <w:r>
        <w:t xml:space="preserve">The</w:t>
      </w:r>
      <w:r>
        <w:t xml:space="preserve"> </w:t>
      </w:r>
      <w:r>
        <w:t xml:space="preserve">Auditor</w:t>
      </w:r>
      <w:r>
        <w:t xml:space="preserve"> </w:t>
      </w:r>
      <w:r>
        <w:t xml:space="preserve">warrants that all services shall be performed in strict adherence to the Code of Ethics for Professional Accountants issued by the ICAA and the Egyptian Financial Accounting Standards. The</w:t>
      </w:r>
      <w:r>
        <w:t xml:space="preserve"> </w:t>
      </w:r>
      <w:r>
        <w:t xml:space="preserve">Auditor</w:t>
      </w:r>
      <w:r>
        <w:t xml:space="preserve"> </w:t>
      </w:r>
      <w:r>
        <w:t xml:space="preserve">shall maintain professional indemnity insurance with a minimum coverage of EGP 5,000,000, valid throughout the duration of the engagement in</w:t>
      </w:r>
      <w:r>
        <w:t xml:space="preserve"> </w:t>
      </w:r>
      <w:r>
        <w:t xml:space="preserve">Egypt Cairo</w:t>
      </w:r>
      <w:r>
        <w:t xml:space="preserve">.</w:t>
      </w:r>
    </w:p>
    <w:p>
      <w:pPr>
        <w:pStyle w:val="BodyText"/>
      </w:pPr>
      <w:r>
        <w:rPr>
          <w:bCs/>
          <w:b/>
        </w:rPr>
        <w:t xml:space="preserve">4.6 Cancellation and Termination:</w:t>
      </w:r>
      <w:r>
        <w:t xml:space="preserve"> </w:t>
      </w:r>
      <w:r>
        <w:t xml:space="preserve">Either party may terminate this</w:t>
      </w:r>
      <w:r>
        <w:t xml:space="preserve"> </w:t>
      </w:r>
      <w:r>
        <w:t xml:space="preserve">Purchase Order</w:t>
      </w:r>
      <w:r>
        <w:t xml:space="preserve"> </w:t>
      </w:r>
      <w:r>
        <w:t xml:space="preserve">with thirty (30) days' written notice. In the event of early termination, the</w:t>
      </w:r>
      <w:r>
        <w:t xml:space="preserve"> </w:t>
      </w:r>
      <w:r>
        <w:t xml:space="preserve">Auditor</w:t>
      </w:r>
      <w:r>
        <w:t xml:space="preserve"> </w:t>
      </w:r>
      <w:r>
        <w:t xml:space="preserve">shall be compensated for all work completed up to the date of termination, plus a 10% administrative fee, subject to a maximum liability of 50% of the total contract value.</w:t>
      </w:r>
    </w:p>
    <w:p>
      <w:pPr>
        <w:pStyle w:val="BodyText"/>
      </w:pPr>
      <w:r>
        <w:rPr>
          <w:bCs/>
          <w:b/>
        </w:rPr>
        <w:t xml:space="preserve">4.7 Force Majeure:</w:t>
      </w:r>
      <w:r>
        <w:t xml:space="preserve"> </w:t>
      </w:r>
      <w:r>
        <w:t xml:space="preserve">Neither party shall be liable for delays caused by events beyond reasonable control, including but not limited to government-mandated closures in</w:t>
      </w:r>
      <w:r>
        <w:t xml:space="preserve"> </w:t>
      </w:r>
      <w:r>
        <w:t xml:space="preserve">Egypt Cairo</w:t>
      </w:r>
      <w:r>
        <w:t xml:space="preserve">, natural disasters, or changes in Egyptian regulatory law affecting audit practices.</w:t>
      </w:r>
    </w:p>
    <w:bookmarkEnd w:id="24"/>
    <w:bookmarkStart w:id="25" w:name="acceptance-and-authorization"/>
    <w:p>
      <w:pPr>
        <w:pStyle w:val="Heading2"/>
      </w:pPr>
      <w:r>
        <w:t xml:space="preserve">5. Acceptance and Authorization</w:t>
      </w:r>
    </w:p>
    <w:p>
      <w:pPr>
        <w:pStyle w:val="FirstParagraph"/>
      </w:pPr>
      <w:r>
        <w:t xml:space="preserve">This</w:t>
      </w:r>
      <w:r>
        <w:t xml:space="preserve"> </w:t>
      </w:r>
      <w:r>
        <w:t xml:space="preserve">Purchase Order</w:t>
      </w:r>
      <w:r>
        <w:t xml:space="preserve"> </w:t>
      </w:r>
      <w:r>
        <w:t xml:space="preserve">becomes effective upon written acceptance by the</w:t>
      </w:r>
      <w:r>
        <w:t xml:space="preserve"> </w:t>
      </w:r>
      <w:r>
        <w:t xml:space="preserve">Auditor</w:t>
      </w:r>
      <w:r>
        <w:t xml:space="preserve"> </w:t>
      </w:r>
      <w:r>
        <w:t xml:space="preserve">and countersignature by the authorized representative of Nile Delta Financial Holdings S.A.E. The</w:t>
      </w:r>
      <w:r>
        <w:t xml:space="preserve"> </w:t>
      </w:r>
      <w:r>
        <w:t xml:space="preserve">Auditor</w:t>
      </w:r>
      <w:r>
        <w:t xml:space="preserve"> </w:t>
      </w:r>
      <w:r>
        <w:t xml:space="preserve">shall return a signed copy of this document to the Procurement Department, Egypt Cairo office, within five (5) business days of receipt.</w:t>
      </w:r>
    </w:p>
    <w:bookmarkEnd w:id="25"/>
    <w:p>
      <w:pPr>
        <w:pStyle w:val="BodyText"/>
      </w:pPr>
      <w:r>
        <w:rPr>
          <w:bCs/>
          <w:b/>
        </w:rPr>
        <w:t xml:space="preserve">For and on behalf of:</w:t>
      </w:r>
      <w:r>
        <w:br/>
      </w:r>
      <w:r>
        <w:t xml:space="preserve">Nile Delta Financial Holdings S.A.E.</w:t>
      </w:r>
    </w:p>
    <w:p>
      <w:pPr>
        <w:pStyle w:val="BodyText"/>
      </w:pPr>
      <w:r>
        <w:t xml:space="preserve">Authorized Signatory – CFO</w:t>
      </w:r>
    </w:p>
    <w:p>
      <w:pPr>
        <w:pStyle w:val="BodyText"/>
      </w:pPr>
      <w:r>
        <w:t xml:space="preserve">Name: Dr. Mona Abdel-Rahman</w:t>
      </w:r>
    </w:p>
    <w:p>
      <w:pPr>
        <w:pStyle w:val="BodyText"/>
      </w:pPr>
      <w:r>
        <w:t xml:space="preserve">Date: _______________</w:t>
      </w:r>
    </w:p>
    <w:p>
      <w:pPr>
        <w:pStyle w:val="BodyText"/>
      </w:pPr>
      <w:r>
        <w:rPr>
          <w:bCs/>
          <w:b/>
        </w:rPr>
        <w:t xml:space="preserve">For and on behalf of:</w:t>
      </w:r>
      <w:r>
        <w:br/>
      </w:r>
      <w:r>
        <w:t xml:space="preserve">Al-Nile Certified Public Accountants &amp; Auditor Services LLC</w:t>
      </w:r>
    </w:p>
    <w:p>
      <w:pPr>
        <w:pStyle w:val="BodyText"/>
      </w:pPr>
      <w:r>
        <w:t xml:space="preserve">Lead Auditor / Senior Partner</w:t>
      </w:r>
    </w:p>
    <w:p>
      <w:pPr>
        <w:pStyle w:val="BodyText"/>
      </w:pPr>
      <w:r>
        <w:t xml:space="preserve">Name: Mr. Hassan El-Sayed, CPA</w:t>
      </w:r>
    </w:p>
    <w:p>
      <w:pPr>
        <w:pStyle w:val="BodyText"/>
      </w:pPr>
      <w:r>
        <w:t xml:space="preserve">Date: _______________</w:t>
      </w:r>
    </w:p>
    <w:p>
      <w:pPr>
        <w:pStyle w:val="BodyText"/>
      </w:pPr>
      <w:r>
        <w:t xml:space="preserve">This Purchase Order (PO-EGC-2025-04782) is issued by Nile Delta Financial Holdings S.A.E., Egypt Cairo, and constitutes a binding procurement document for the engagement of the named Auditor. All communications regarding this Purchase Order shall be directed to the Procurement Department, 12 Tahrir Square, Egypt Cairo, 11511. This document is valid only when bearing the official company seal and authorized signatures. © 2025 Nile Delta Financial Holdings S.A.E.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Egypt Cairo</dc:title>
  <dc:creator/>
  <dc:language>en</dc:language>
  <cp:keywords/>
  <dcterms:created xsi:type="dcterms:W3CDTF">2026-10-10T01:17:00Z</dcterms:created>
  <dcterms:modified xsi:type="dcterms:W3CDTF">2026-10-10T01:17:00Z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