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Engagement of Professional Auditor Services</w:t>
      </w:r>
    </w:p>
    <w:p>
      <w:pPr>
        <w:pStyle w:val="BodyText"/>
      </w:pPr>
      <w:r>
        <w:t xml:space="preserve">Registered Office: 14, Connaught Place, New Delhi – 110001, India</w:t>
      </w:r>
    </w:p>
    <w:p>
      <w:pPr>
        <w:pStyle w:val="BodyText"/>
      </w:pPr>
      <w:r>
        <w:t xml:space="preserve">Corporate Identification Number (CIN): U74999DL2019PTC345678</w:t>
      </w:r>
    </w:p>
    <w:bookmarkEnd w:id="20"/>
    <w:bookmarkStart w:id="21" w:name="buyer-ordering-entity"/>
    <w:p>
      <w:pPr>
        <w:pStyle w:val="Heading3"/>
      </w:pPr>
      <w:r>
        <w:t xml:space="preserve">Buyer / Ordering Entity</w:t>
      </w:r>
    </w:p>
    <w:p>
      <w:pPr>
        <w:pStyle w:val="FirstParagraph"/>
      </w:pPr>
      <w:r>
        <w:rPr>
          <w:bCs/>
          <w:b/>
        </w:rPr>
        <w:t xml:space="preserve">Meridian Infrastructure Holdings Pvt. Ltd.</w:t>
      </w:r>
      <w:r>
        <w:br/>
      </w:r>
      <w:r>
        <w:t xml:space="preserve">14, Connaught Place, New Delhi – 110001</w:t>
      </w:r>
      <w:r>
        <w:br/>
      </w:r>
      <w:r>
        <w:t xml:space="preserve">India</w:t>
      </w:r>
      <w:r>
        <w:br/>
      </w:r>
      <w:r>
        <w:t xml:space="preserve">GSTIN: 07AABCM1234F1Z5</w:t>
      </w:r>
      <w:r>
        <w:br/>
      </w:r>
      <w:r>
        <w:t xml:space="preserve">PAN: AABCM1234F</w:t>
      </w:r>
      <w:r>
        <w:br/>
      </w:r>
      <w:r>
        <w:t xml:space="preserve">Contact: procurement@meridianinfra.in</w:t>
      </w:r>
      <w:r>
        <w:br/>
      </w:r>
      <w:r>
        <w:t xml:space="preserve">Phone: +91-11-4567-8900</w:t>
      </w:r>
    </w:p>
    <w:bookmarkEnd w:id="21"/>
    <w:bookmarkStart w:id="22" w:name="vendor-service-provider"/>
    <w:p>
      <w:pPr>
        <w:pStyle w:val="Heading3"/>
      </w:pPr>
      <w:r>
        <w:t xml:space="preserve">Vendor / Service Provider</w:t>
      </w:r>
    </w:p>
    <w:p>
      <w:pPr>
        <w:pStyle w:val="FirstParagraph"/>
      </w:pPr>
      <w:r>
        <w:rPr>
          <w:bCs/>
          <w:b/>
        </w:rPr>
        <w:t xml:space="preserve">Sharma &amp; Associates Chartered Accountants</w:t>
      </w:r>
      <w:r>
        <w:br/>
      </w:r>
      <w:r>
        <w:t xml:space="preserve">3rd Floor, DLF Cyber City, Phase II</w:t>
      </w:r>
      <w:r>
        <w:br/>
      </w:r>
      <w:r>
        <w:t xml:space="preserve">Gurugram, Haryana – 122002</w:t>
      </w:r>
      <w:r>
        <w:br/>
      </w:r>
      <w:r>
        <w:t xml:space="preserve">India (Serving New Delhi Region)</w:t>
      </w:r>
      <w:r>
        <w:br/>
      </w:r>
      <w:r>
        <w:t xml:space="preserve">GSTIN: 06AAFPS5678K1Z2</w:t>
      </w:r>
      <w:r>
        <w:br/>
      </w:r>
      <w:r>
        <w:t xml:space="preserve">ICAI Firm Registration No.: 101245W</w:t>
      </w:r>
      <w:r>
        <w:br/>
      </w:r>
      <w:r>
        <w:t xml:space="preserve">Contact: billing@sharmaassociates.in</w:t>
      </w:r>
      <w:r>
        <w:br/>
      </w:r>
      <w:r>
        <w:t xml:space="preserve">Phone: +91-11-2345-6789</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MIH/PO/2025/00472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Place of Execution:</w:t>
            </w:r>
          </w:p>
        </w:tc>
        <w:tc>
          <w:tcPr/>
          <w:p>
            <w:pPr>
              <w:pStyle w:val="Compact"/>
              <w:jc w:val="left"/>
            </w:pPr>
            <w:r>
              <w:t xml:space="preserve">New Delhi, India</w:t>
            </w:r>
          </w:p>
        </w:tc>
      </w:tr>
      <w:tr>
        <w:tc>
          <w:tcPr/>
          <w:p>
            <w:pPr>
              <w:pStyle w:val="Compact"/>
              <w:jc w:val="left"/>
            </w:pPr>
            <w:r>
              <w:t xml:space="preserve">Applicable Law:</w:t>
            </w:r>
          </w:p>
        </w:tc>
        <w:tc>
          <w:tcPr/>
          <w:p>
            <w:pPr>
              <w:pStyle w:val="Compact"/>
              <w:jc w:val="left"/>
            </w:pPr>
            <w:r>
              <w:t xml:space="preserve">Indian Contract Act, 1872; Companies Act, 2013</w:t>
            </w:r>
          </w:p>
        </w:tc>
        <w:tc>
          <w:tcPr/>
          <w:p>
            <w:pPr>
              <w:pStyle w:val="Compact"/>
              <w:jc w:val="left"/>
            </w:pPr>
            <w:r>
              <w:t xml:space="preserve">Currency:</w:t>
            </w:r>
          </w:p>
        </w:tc>
        <w:tc>
          <w:tcPr/>
          <w:p>
            <w:pPr>
              <w:pStyle w:val="Compact"/>
              <w:jc w:val="left"/>
            </w:pPr>
            <w:r>
              <w:t xml:space="preserve">Indian Rupee (INR / ₹)</w:t>
            </w:r>
          </w:p>
        </w:tc>
      </w:tr>
    </w:tbl>
    <w:bookmarkStart w:id="23" w:name="Xeb0d612b89377d5bde300cdba309f99d50cbb85"/>
    <w:p>
      <w:pPr>
        <w:pStyle w:val="Heading2"/>
      </w:pPr>
      <w:r>
        <w:t xml:space="preserve">1. Description of Services – Auditor Engagement</w:t>
      </w:r>
    </w:p>
    <w:p>
      <w:pPr>
        <w:pStyle w:val="FirstParagraph"/>
      </w:pPr>
      <w:r>
        <w:t xml:space="preserve">This</w:t>
      </w:r>
      <w:r>
        <w:t xml:space="preserve"> </w:t>
      </w:r>
      <w:r>
        <w:t xml:space="preserve">Purchase Order</w:t>
      </w:r>
      <w:r>
        <w:t xml:space="preserve"> </w:t>
      </w:r>
      <w:r>
        <w:t xml:space="preserve">is issued by Meridian Infrastructure Holdings Pvt. Ltd. (hereinafter referred to as the "Buyer"), a company incorporated under the Companies Act, 2013 and having its principal place of business in</w:t>
      </w:r>
      <w:r>
        <w:t xml:space="preserve"> </w:t>
      </w:r>
      <w:r>
        <w:t xml:space="preserve">India New Delhi</w:t>
      </w:r>
      <w:r>
        <w:t xml:space="preserve">, to formally engage the services of Sharma &amp; Associates Chartered Accountants (hereinafter referred to as the "Auditor" or the "Vendor") for the conduct of a comprehensive statutory and internal audit of the Buyer's financial records, operational processes, and compliance posture for the financial year 2024–2025.</w:t>
      </w:r>
    </w:p>
    <w:p>
      <w:pPr>
        <w:pStyle w:val="BodyText"/>
      </w:pPr>
      <w:r>
        <w:t xml:space="preserve">The</w:t>
      </w:r>
      <w:r>
        <w:t xml:space="preserve"> </w:t>
      </w:r>
      <w:r>
        <w:t xml:space="preserve">Auditor</w:t>
      </w:r>
      <w:r>
        <w:t xml:space="preserve"> </w:t>
      </w:r>
      <w:r>
        <w:t xml:space="preserve">shall perform all duties and responsibilities as prescribed under Section 139 and Section 143 of the Companies Act, 2013, read with the applicable rules framed by the Ministry of Corporate Affairs, Government of India. The scope of this engagement is specifically tailored to the regulatory environment of</w:t>
      </w:r>
      <w:r>
        <w:t xml:space="preserve"> </w:t>
      </w:r>
      <w:r>
        <w:t xml:space="preserve">India New Delhi</w:t>
      </w:r>
      <w:r>
        <w:t xml:space="preserve"> </w:t>
      </w:r>
      <w:r>
        <w:t xml:space="preserve">and the broader National Capital Territory, ensuring full alignment with local tax authorities, the Securities and Exchange Board of India (SEBI), and the Income Tax Department of India.</w:t>
      </w:r>
    </w:p>
    <w:bookmarkEnd w:id="23"/>
    <w:bookmarkStart w:id="24" w:name="scope-of-work-and-deliverables"/>
    <w:p>
      <w:pPr>
        <w:pStyle w:val="Heading2"/>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Timeline</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Statutory Audit of Financial Statements</w:t>
            </w:r>
          </w:p>
        </w:tc>
        <w:tc>
          <w:tcPr/>
          <w:p>
            <w:pPr>
              <w:pStyle w:val="Compact"/>
              <w:jc w:val="left"/>
            </w:pPr>
            <w:r>
              <w:t xml:space="preserve">Full audit of balance sheet, profit &amp; loss account, cash flow statement, and notes to accounts for FY 2024–25 as per Indian Accounting Standards (Ind AS).</w:t>
            </w:r>
          </w:p>
        </w:tc>
        <w:tc>
          <w:tcPr/>
          <w:p>
            <w:pPr>
              <w:pStyle w:val="Compact"/>
              <w:jc w:val="left"/>
            </w:pPr>
            <w:r>
              <w:t xml:space="preserve">July 2025 – September 2025</w:t>
            </w:r>
          </w:p>
        </w:tc>
        <w:tc>
          <w:tcPr/>
          <w:p>
            <w:pPr>
              <w:pStyle w:val="Compact"/>
              <w:jc w:val="left"/>
            </w:pPr>
            <w:r>
              <w:t xml:space="preserve">₹ 4,50,000</w:t>
            </w:r>
          </w:p>
        </w:tc>
      </w:tr>
      <w:tr>
        <w:tc>
          <w:tcPr/>
          <w:p>
            <w:pPr>
              <w:pStyle w:val="Compact"/>
              <w:jc w:val="left"/>
            </w:pPr>
            <w:r>
              <w:t xml:space="preserve">2</w:t>
            </w:r>
          </w:p>
        </w:tc>
        <w:tc>
          <w:tcPr/>
          <w:p>
            <w:pPr>
              <w:pStyle w:val="Compact"/>
              <w:jc w:val="left"/>
            </w:pPr>
            <w:r>
              <w:t xml:space="preserve">Internal Audit – Operational &amp; Process Review</w:t>
            </w:r>
          </w:p>
        </w:tc>
        <w:tc>
          <w:tcPr/>
          <w:p>
            <w:pPr>
              <w:pStyle w:val="Compact"/>
              <w:jc w:val="left"/>
            </w:pPr>
            <w:r>
              <w:t xml:space="preserve">Review of internal controls, procurement processes, vendor payment cycles, and revenue recognition procedures across all New Delhi and NCR operational units.</w:t>
            </w:r>
          </w:p>
        </w:tc>
        <w:tc>
          <w:tcPr/>
          <w:p>
            <w:pPr>
              <w:pStyle w:val="Compact"/>
              <w:jc w:val="left"/>
            </w:pPr>
            <w:r>
              <w:t xml:space="preserve">August 2025 – October 2025</w:t>
            </w:r>
          </w:p>
        </w:tc>
        <w:tc>
          <w:tcPr/>
          <w:p>
            <w:pPr>
              <w:pStyle w:val="Compact"/>
              <w:jc w:val="left"/>
            </w:pPr>
            <w:r>
              <w:t xml:space="preserve">₹ 3,20,000</w:t>
            </w:r>
          </w:p>
        </w:tc>
      </w:tr>
      <w:tr>
        <w:tc>
          <w:tcPr/>
          <w:p>
            <w:pPr>
              <w:pStyle w:val="Compact"/>
              <w:jc w:val="left"/>
            </w:pPr>
            <w:r>
              <w:t xml:space="preserve">3</w:t>
            </w:r>
          </w:p>
        </w:tc>
        <w:tc>
          <w:tcPr/>
          <w:p>
            <w:pPr>
              <w:pStyle w:val="Compact"/>
              <w:jc w:val="left"/>
            </w:pPr>
            <w:r>
              <w:t xml:space="preserve">Tax Compliance Audit (Income Tax &amp; GST)</w:t>
            </w:r>
          </w:p>
        </w:tc>
        <w:tc>
          <w:tcPr/>
          <w:p>
            <w:pPr>
              <w:pStyle w:val="Compact"/>
              <w:jc w:val="left"/>
            </w:pPr>
            <w:r>
              <w:t xml:space="preserve">Verification of TDS/TCS deductions, GST filings, and reconciliation of tax liabilities for the entity registered in India New Delhi.</w:t>
            </w:r>
          </w:p>
        </w:tc>
        <w:tc>
          <w:tcPr/>
          <w:p>
            <w:pPr>
              <w:pStyle w:val="Compact"/>
              <w:jc w:val="left"/>
            </w:pPr>
            <w:r>
              <w:t xml:space="preserve">September 2025 – November 2025</w:t>
            </w:r>
          </w:p>
        </w:tc>
        <w:tc>
          <w:tcPr/>
          <w:p>
            <w:pPr>
              <w:pStyle w:val="Compact"/>
              <w:jc w:val="left"/>
            </w:pPr>
            <w:r>
              <w:t xml:space="preserve">₹ 1,80,000</w:t>
            </w:r>
          </w:p>
        </w:tc>
      </w:tr>
      <w:tr>
        <w:tc>
          <w:tcPr/>
          <w:p>
            <w:pPr>
              <w:pStyle w:val="Compact"/>
              <w:jc w:val="left"/>
            </w:pPr>
            <w:r>
              <w:t xml:space="preserve">4</w:t>
            </w:r>
          </w:p>
        </w:tc>
        <w:tc>
          <w:tcPr/>
          <w:p>
            <w:pPr>
              <w:pStyle w:val="Compact"/>
              <w:jc w:val="left"/>
            </w:pPr>
            <w:r>
              <w:t xml:space="preserve">Compliance Audit – SEBI &amp; MCA Filings</w:t>
            </w:r>
          </w:p>
        </w:tc>
        <w:tc>
          <w:tcPr/>
          <w:p>
            <w:pPr>
              <w:pStyle w:val="Compact"/>
              <w:jc w:val="left"/>
            </w:pPr>
            <w:r>
              <w:t xml:space="preserve">Ensuring all statutory filings, board minutes, and regulatory disclosures comply with SEBI LODR Regulations and MCA requirements applicable in India New Delhi.</w:t>
            </w:r>
          </w:p>
        </w:tc>
        <w:tc>
          <w:tcPr/>
          <w:p>
            <w:pPr>
              <w:pStyle w:val="Compact"/>
              <w:jc w:val="left"/>
            </w:pPr>
            <w:r>
              <w:t xml:space="preserve">October 2025 – December 2025</w:t>
            </w:r>
          </w:p>
        </w:tc>
        <w:tc>
          <w:tcPr/>
          <w:p>
            <w:pPr>
              <w:pStyle w:val="Compact"/>
              <w:jc w:val="left"/>
            </w:pPr>
            <w:r>
              <w:t xml:space="preserve">₹ 1,50,000</w:t>
            </w:r>
          </w:p>
        </w:tc>
      </w:tr>
      <w:tr>
        <w:tc>
          <w:tcPr/>
          <w:p>
            <w:pPr>
              <w:pStyle w:val="Compact"/>
              <w:jc w:val="left"/>
            </w:pPr>
            <w:r>
              <w:t xml:space="preserve">5</w:t>
            </w:r>
          </w:p>
        </w:tc>
        <w:tc>
          <w:tcPr/>
          <w:p>
            <w:pPr>
              <w:pStyle w:val="Compact"/>
              <w:jc w:val="left"/>
            </w:pPr>
            <w:r>
              <w:t xml:space="preserve">Management Letter &amp; Final Audit Report</w:t>
            </w:r>
          </w:p>
        </w:tc>
        <w:tc>
          <w:tcPr/>
          <w:p>
            <w:pPr>
              <w:pStyle w:val="Compact"/>
              <w:jc w:val="left"/>
            </w:pPr>
            <w:r>
              <w:t xml:space="preserve">Submission of a detailed management letter highlighting findings, risk areas, and recommendations, along with the signed Auditor's Report in the prescribed format.</w:t>
            </w:r>
          </w:p>
        </w:tc>
        <w:tc>
          <w:tcPr/>
          <w:p>
            <w:pPr>
              <w:pStyle w:val="Compact"/>
              <w:jc w:val="left"/>
            </w:pPr>
            <w:r>
              <w:t xml:space="preserve">By 31 December 2025</w:t>
            </w:r>
          </w:p>
        </w:tc>
        <w:tc>
          <w:tcPr/>
          <w:p>
            <w:pPr>
              <w:pStyle w:val="Compact"/>
              <w:jc w:val="left"/>
            </w:pPr>
            <w:r>
              <w:t xml:space="preserve">₹ 95,000</w:t>
            </w:r>
          </w:p>
        </w:tc>
      </w:tr>
      <w:tr>
        <w:tc>
          <w:tcPr>
            <w:gridSpan w:val="4"/>
          </w:tcPr>
          <w:p>
            <w:pPr>
              <w:pStyle w:val="Compact"/>
              <w:jc w:val="right"/>
            </w:pPr>
            <w:r>
              <w:t xml:space="preserve">Subtotal (Excluding GST):</w:t>
            </w:r>
          </w:p>
        </w:tc>
        <w:tc>
          <w:tcPr/>
          <w:p>
            <w:pPr>
              <w:pStyle w:val="Compact"/>
              <w:jc w:val="left"/>
            </w:pPr>
            <w:r>
              <w:t xml:space="preserve">₹ 11,95,000</w:t>
            </w:r>
          </w:p>
        </w:tc>
      </w:tr>
      <w:tr>
        <w:tc>
          <w:tcPr>
            <w:gridSpan w:val="4"/>
          </w:tcPr>
          <w:p>
            <w:pPr>
              <w:pStyle w:val="Compact"/>
              <w:jc w:val="right"/>
            </w:pPr>
            <w:r>
              <w:t xml:space="preserve">GST @ 18% (as applicable in India New Delhi):</w:t>
            </w:r>
          </w:p>
        </w:tc>
        <w:tc>
          <w:tcPr/>
          <w:p>
            <w:pPr>
              <w:pStyle w:val="Compact"/>
              <w:jc w:val="left"/>
            </w:pPr>
            <w:r>
              <w:t xml:space="preserve">₹ 2,15,100</w:t>
            </w:r>
          </w:p>
        </w:tc>
      </w:tr>
      <w:tr>
        <w:tc>
          <w:tcPr>
            <w:gridSpan w:val="4"/>
          </w:tcPr>
          <w:p>
            <w:pPr>
              <w:pStyle w:val="Compact"/>
              <w:jc w:val="right"/>
            </w:pPr>
            <w:r>
              <w:t xml:space="preserve">Grand Total (Inclusive of GST):</w:t>
            </w:r>
          </w:p>
        </w:tc>
        <w:tc>
          <w:tcPr/>
          <w:p>
            <w:pPr>
              <w:pStyle w:val="Compact"/>
              <w:jc w:val="left"/>
            </w:pPr>
            <w:r>
              <w:t xml:space="preserve">₹ 14,10,100</w:t>
            </w:r>
          </w:p>
        </w:tc>
      </w:tr>
    </w:tbl>
    <w:p>
      <w:pPr>
        <w:pStyle w:val="BodyText"/>
      </w:pPr>
      <w:r>
        <w:rPr>
          <w:bCs/>
          <w:b/>
        </w:rPr>
        <w:t xml:space="preserve">GST Note:</w:t>
      </w:r>
      <w:r>
        <w:t xml:space="preserve"> </w:t>
      </w:r>
      <w:r>
        <w:t xml:space="preserve">The above amounts are inclusive of Goods and Services Tax (GST) at the applicable rate of 18% as per the Central Goods and Services Tax Act, 2017, and the Delhi Goods and Services Tax Act, 2017. The</w:t>
      </w:r>
      <w:r>
        <w:t xml:space="preserve"> </w:t>
      </w:r>
      <w:r>
        <w:t xml:space="preserve">Auditor</w:t>
      </w:r>
      <w:r>
        <w:t xml:space="preserve"> </w:t>
      </w:r>
      <w:r>
        <w:t xml:space="preserve">shall issue a valid tax invoice with GSTIN for each payment milestone. All transactions under this</w:t>
      </w:r>
      <w:r>
        <w:t xml:space="preserve"> </w:t>
      </w:r>
      <w:r>
        <w:t xml:space="preserve">Purchase Order</w:t>
      </w:r>
      <w:r>
        <w:t xml:space="preserve"> </w:t>
      </w:r>
      <w:r>
        <w:t xml:space="preserve">shall be processed through the electronic invoicing system mandated for businesses operating in</w:t>
      </w:r>
      <w:r>
        <w:t xml:space="preserve"> </w:t>
      </w:r>
      <w:r>
        <w:t xml:space="preserve">India New Delhi</w:t>
      </w:r>
      <w:r>
        <w:t xml:space="preserve">.</w:t>
      </w:r>
    </w:p>
    <w:bookmarkEnd w:id="24"/>
    <w:bookmarkStart w:id="25" w:name="payment-terms-and-conditions"/>
    <w:p>
      <w:pPr>
        <w:pStyle w:val="Heading2"/>
      </w:pPr>
      <w:r>
        <w:t xml:space="preserve">3. Payment Terms and Conditions</w:t>
      </w:r>
    </w:p>
    <w:p>
      <w:pPr>
        <w:pStyle w:val="FirstParagraph"/>
      </w:pPr>
      <w:r>
        <w:rPr>
          <w:bCs/>
          <w:b/>
        </w:rPr>
        <w:t xml:space="preserve">3.1</w:t>
      </w:r>
      <w:r>
        <w:t xml:space="preserve"> </w:t>
      </w:r>
      <w:r>
        <w:t xml:space="preserve">Payment shall be made in three (3) equal installments: (a) 40% upon execution of this Purchase Order and commencement of the Auditor's fieldwork; (b) 35% upon submission of the draft audit report; and (c) 25% upon final acceptance of the Auditor's Report and Management Letter by the Board of Directors of the Buyer.</w:t>
      </w:r>
    </w:p>
    <w:p>
      <w:pPr>
        <w:pStyle w:val="BodyText"/>
      </w:pPr>
      <w:r>
        <w:rPr>
          <w:bCs/>
          <w:b/>
        </w:rPr>
        <w:t xml:space="preserve">3.2</w:t>
      </w:r>
      <w:r>
        <w:t xml:space="preserve"> </w:t>
      </w:r>
      <w:r>
        <w:t xml:space="preserve">All payments shall be made via National Electronic Funds Transfer (NEFT) or Real-Time Gross Settlement (RTGS) to the bank account designated by the Auditor. The Buyer shall deduct Tax Deducted at Source (TDS) at the rate of 10% under Section 194J of the Income Tax Act, 1961, as applicable to professional fees paid to a Chartered Accountant firm in India New Delhi.</w:t>
      </w:r>
    </w:p>
    <w:p>
      <w:pPr>
        <w:pStyle w:val="BodyText"/>
      </w:pPr>
      <w:r>
        <w:rPr>
          <w:bCs/>
          <w:b/>
        </w:rPr>
        <w:t xml:space="preserve">3.3</w:t>
      </w:r>
      <w:r>
        <w:t xml:space="preserve"> </w:t>
      </w:r>
      <w:r>
        <w:t xml:space="preserve">The Auditor shall be entitled to a 1.5% monthly interest on any overdue payment, calculated from the due date until the date of actual payment, in accordance with the terms stipulated in this Purchase Order.</w:t>
      </w:r>
    </w:p>
    <w:p>
      <w:pPr>
        <w:pStyle w:val="BodyText"/>
      </w:pPr>
      <w:r>
        <w:rPr>
          <w:bCs/>
          <w:b/>
        </w:rPr>
        <w:t xml:space="preserve">3.4</w:t>
      </w:r>
      <w:r>
        <w:t xml:space="preserve"> </w:t>
      </w:r>
      <w:r>
        <w:t xml:space="preserve">No payment shall be released until the Auditor provides a valid GST tax invoice, a TDS certificate (Form 16A), and a compliance declaration confirming that all statutory obligations under Indian law have been met.</w:t>
      </w:r>
    </w:p>
    <w:bookmarkEnd w:id="25"/>
    <w:bookmarkStart w:id="26" w:name="terms-conditions-and-obligations"/>
    <w:p>
      <w:pPr>
        <w:pStyle w:val="Heading2"/>
      </w:pPr>
      <w:r>
        <w:t xml:space="preserve">4. Terms, Conditions, and Obligations</w:t>
      </w:r>
    </w:p>
    <w:p>
      <w:pPr>
        <w:pStyle w:val="FirstParagraph"/>
      </w:pPr>
      <w:r>
        <w:rPr>
          <w:bCs/>
          <w:b/>
        </w:rPr>
        <w:t xml:space="preserve">4.1</w:t>
      </w:r>
      <w:r>
        <w:t xml:space="preserve"> </w:t>
      </w:r>
      <w:r>
        <w:t xml:space="preserve">The Auditor shall maintain strict confidentiality of all financial data, trade secrets, and proprietary information of the Buyer. Any breach of confidentiality shall render the Auditor liable for damages as per the Indian Contract Act, 1872, and applicable data protection regulations.</w:t>
      </w:r>
    </w:p>
    <w:p>
      <w:pPr>
        <w:pStyle w:val="BodyText"/>
      </w:pPr>
      <w:r>
        <w:rPr>
          <w:bCs/>
          <w:b/>
        </w:rPr>
        <w:t xml:space="preserve">4.2</w:t>
      </w:r>
      <w:r>
        <w:t xml:space="preserve"> </w:t>
      </w:r>
      <w:r>
        <w:t xml:space="preserve">The Auditor shall be independent and free from any conflict of interest. The Auditor shall not provide any non-audit services (such as bookkeeping, tax return preparation, or management consulting) to the Buyer during the audit period, in compliance with the ICAI Code of Ethics applicable in India New Delhi.</w:t>
      </w:r>
    </w:p>
    <w:p>
      <w:pPr>
        <w:pStyle w:val="BodyText"/>
      </w:pPr>
      <w:r>
        <w:rPr>
          <w:bCs/>
          <w:b/>
        </w:rPr>
        <w:t xml:space="preserve">4.3</w:t>
      </w:r>
      <w:r>
        <w:t xml:space="preserve"> </w:t>
      </w:r>
      <w:r>
        <w:t xml:space="preserve">The Auditor shall ensure that all audit staff assigned to this engagement are qualified Chartered Accountants or articles trained under the Institute of Chartered Accountants of India (ICAI) and are physically present at the Buyer's premises in New Delhi, India, during fieldwork periods.</w:t>
      </w:r>
    </w:p>
    <w:p>
      <w:pPr>
        <w:pStyle w:val="BodyText"/>
      </w:pPr>
      <w:r>
        <w:rPr>
          <w:bCs/>
          <w:b/>
        </w:rPr>
        <w:t xml:space="preserve">4.4</w:t>
      </w:r>
      <w:r>
        <w:t xml:space="preserve"> </w:t>
      </w:r>
      <w:r>
        <w:t xml:space="preserve">This Purchase Order shall be governed by and construed in accordance with the laws of India. Any disputes arising out of or in connection with this Purchase Order shall be subject to the exclusive jurisdiction of the competent courts in New Delhi, India.</w:t>
      </w:r>
    </w:p>
    <w:p>
      <w:pPr>
        <w:pStyle w:val="BodyText"/>
      </w:pPr>
      <w:r>
        <w:rPr>
          <w:bCs/>
          <w:b/>
        </w:rPr>
        <w:t xml:space="preserve">4.5</w:t>
      </w:r>
      <w:r>
        <w:t xml:space="preserve"> </w:t>
      </w:r>
      <w:r>
        <w:t xml:space="preserve">The Auditor shall indemnify the Buyer against any loss, damage, or liability arising from negligence, gross error, or willful misconduct in the performance of audit services under this Purchase Order.</w:t>
      </w:r>
    </w:p>
    <w:p>
      <w:pPr>
        <w:pStyle w:val="BodyText"/>
      </w:pPr>
      <w:r>
        <w:rPr>
          <w:bCs/>
          <w:b/>
        </w:rPr>
        <w:t xml:space="preserve">4.6</w:t>
      </w:r>
      <w:r>
        <w:t xml:space="preserve"> </w:t>
      </w:r>
      <w:r>
        <w:t xml:space="preserve">Either party may terminate this Purchase Order with thirty (30) days' written notice. In the event of termination, the Auditor shall be compensated for work completed up to the date of termination, subject to a final reconciliation.</w:t>
      </w:r>
    </w:p>
    <w:bookmarkEnd w:id="26"/>
    <w:bookmarkStart w:id="27" w:name="acceptance-and-authorization"/>
    <w:p>
      <w:pPr>
        <w:pStyle w:val="Heading2"/>
      </w:pPr>
      <w:r>
        <w:t xml:space="preserve">5. Acceptance and Authorization</w:t>
      </w:r>
    </w:p>
    <w:p>
      <w:pPr>
        <w:pStyle w:val="FirstParagraph"/>
      </w:pPr>
      <w:r>
        <w:t xml:space="preserve">This Purchase Order is issued in accordance with the internal procurement policy of Meridian Infrastructure Holdings Pvt. Ltd. and has been approved by the Finance Committee of the Board. The Auditor is requested to confirm acceptance of all terms and conditions by signing below and returning a copy of this Purchase Order within five (5) business days of receipt.</w:t>
      </w:r>
    </w:p>
    <w:p>
      <w:pPr>
        <w:pStyle w:val="BodyText"/>
      </w:pPr>
      <w:r>
        <w:rPr>
          <w:bCs/>
          <w:b/>
        </w:rPr>
        <w:t xml:space="preserve">For and on behalf of the Buyer</w:t>
      </w:r>
      <w:r>
        <w:br/>
      </w:r>
      <w:r>
        <w:t xml:space="preserve">Meridian Infrastructure Holdings Pvt. Ltd.</w:t>
      </w:r>
      <w:r>
        <w:br/>
      </w:r>
      <w:r>
        <w:t xml:space="preserve">Name: Rajesh Kumar Verma</w:t>
      </w:r>
      <w:r>
        <w:br/>
      </w:r>
      <w:r>
        <w:t xml:space="preserve">Designation: Chief Financial Officer</w:t>
      </w:r>
      <w:r>
        <w:br/>
      </w:r>
      <w:r>
        <w:t xml:space="preserve">Date: _______________</w:t>
      </w:r>
    </w:p>
    <w:p>
      <w:pPr>
        <w:pStyle w:val="BodyText"/>
      </w:pPr>
      <w:r>
        <w:rPr>
          <w:bCs/>
          <w:b/>
        </w:rPr>
        <w:t xml:space="preserve">For and on behalf of the Auditor</w:t>
      </w:r>
      <w:r>
        <w:br/>
      </w:r>
      <w:r>
        <w:t xml:space="preserve">Sharma &amp; Associates Chartered Accountants</w:t>
      </w:r>
      <w:r>
        <w:br/>
      </w:r>
      <w:r>
        <w:t xml:space="preserve">Name: CA Anil Sharma</w:t>
      </w:r>
      <w:r>
        <w:br/>
      </w:r>
      <w:r>
        <w:t xml:space="preserve">Designation: Managing Partner</w:t>
      </w:r>
      <w:r>
        <w:br/>
      </w:r>
      <w:r>
        <w:t xml:space="preserve">ICAI Membership No.: 123456</w:t>
      </w:r>
      <w:r>
        <w:br/>
      </w:r>
      <w:r>
        <w:t xml:space="preserve">Date: _______________</w:t>
      </w:r>
    </w:p>
    <w:p>
      <w:pPr>
        <w:pStyle w:val="BodyText"/>
      </w:pPr>
      <w:r>
        <w:t xml:space="preserve">This Purchase Order (No. MIH/PO/2025/00472) is a legally binding document issued by Meridian Infrastructure Holdings Pvt. Ltd., New Delhi, India. It constitutes a formal engagement of the Auditor for the services described herein. All communications regarding this Purchase Order shall be directed to the procurement department at the registered office in India New Delhi. Unauthorized reproduction or distribution of this document is strictly prohibited.</w:t>
      </w:r>
    </w:p>
    <w:p>
      <w:pPr>
        <w:pStyle w:val="BodyText"/>
      </w:pPr>
      <w:r>
        <w:t xml:space="preserve">Document Reference: MIH/PO/2025/00472 | Version: 1.0 | Classification: Confidential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India New Delhi</dc:title>
  <dc:creator/>
  <dc:language>en</dc:language>
  <cp:keywords/>
  <dcterms:created xsi:type="dcterms:W3CDTF">2026-10-10T02:42:09Z</dcterms:created>
  <dcterms:modified xsi:type="dcterms:W3CDTF">2026-10-10T02:42:09Z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