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Professional Auditor Services — Japan Tokyo Region</w:t>
      </w:r>
    </w:p>
    <w:p>
      <w:pPr>
        <w:pStyle w:val="BodyText"/>
      </w:pPr>
      <w:r>
        <w:t xml:space="preserve">PO No: JPT-2025-04871</w:t>
      </w:r>
    </w:p>
    <w:bookmarkEnd w:id="20"/>
    <w:bookmarkStart w:id="21" w:name="purchase-order-details"/>
    <w:p>
      <w:pPr>
        <w:pStyle w:val="Heading2"/>
      </w:pPr>
      <w:r>
        <w:t xml:space="preserve">1. Purchase Order Details</w:t>
      </w:r>
    </w:p>
    <w:p>
      <w:pPr>
        <w:pStyle w:val="FirstParagraph"/>
      </w:pPr>
      <w:r>
        <w:t xml:space="preserve">Purchase Order Date:</w:t>
      </w:r>
    </w:p>
    <w:p>
      <w:pPr>
        <w:pStyle w:val="BodyText"/>
      </w:pPr>
      <w:r>
        <w:t xml:space="preserve">15 June 2025</w:t>
      </w:r>
    </w:p>
    <w:p>
      <w:pPr>
        <w:pStyle w:val="BodyText"/>
      </w:pPr>
      <w:r>
        <w:t xml:space="preserve">Required Completion Date:</w:t>
      </w:r>
    </w:p>
    <w:p>
      <w:pPr>
        <w:pStyle w:val="BodyText"/>
      </w:pPr>
      <w:r>
        <w:t xml:space="preserve">30 September 2025</w:t>
      </w:r>
    </w:p>
    <w:p>
      <w:pPr>
        <w:pStyle w:val="BodyText"/>
      </w:pPr>
      <w:r>
        <w:t xml:space="preserve">Payment Terms:</w:t>
      </w:r>
    </w:p>
    <w:p>
      <w:pPr>
        <w:pStyle w:val="BodyText"/>
      </w:pPr>
      <w:r>
        <w:t xml:space="preserve">Net 30 days from invoice date</w:t>
      </w:r>
    </w:p>
    <w:p>
      <w:pPr>
        <w:pStyle w:val="BodyText"/>
      </w:pPr>
      <w:r>
        <w:t xml:space="preserve">Currency:</w:t>
      </w:r>
    </w:p>
    <w:p>
      <w:pPr>
        <w:pStyle w:val="BodyText"/>
      </w:pPr>
      <w:r>
        <w:t xml:space="preserve">Japanese Yen (JPY)</w:t>
      </w:r>
    </w:p>
    <w:p>
      <w:pPr>
        <w:pStyle w:val="BodyText"/>
      </w:pPr>
      <w:r>
        <w:t xml:space="preserve">Issuing Entity:</w:t>
      </w:r>
    </w:p>
    <w:p>
      <w:pPr>
        <w:pStyle w:val="BodyText"/>
      </w:pPr>
      <w:r>
        <w:t xml:space="preserve">Shinagawa Industrial Holdings K.K.</w:t>
      </w:r>
    </w:p>
    <w:p>
      <w:pPr>
        <w:pStyle w:val="BodyText"/>
      </w:pPr>
      <w:r>
        <w:t xml:space="preserve">Address:</w:t>
      </w:r>
    </w:p>
    <w:p>
      <w:pPr>
        <w:pStyle w:val="BodyText"/>
      </w:pPr>
      <w:r>
        <w:t xml:space="preserve">2-14-3 Nishi-Shinagawa, Shinagawa-ku, Tokyo 142-8555, Japan</w:t>
      </w:r>
    </w:p>
    <w:p>
      <w:pPr>
        <w:pStyle w:val="BodyText"/>
      </w:pPr>
      <w:r>
        <w:t xml:space="preserve">Contact Person:</w:t>
      </w:r>
    </w:p>
    <w:p>
      <w:pPr>
        <w:pStyle w:val="BodyText"/>
      </w:pPr>
      <w:r>
        <w:t xml:space="preserve">Mr. Kenji Tanaka, Director of Finance</w:t>
      </w:r>
    </w:p>
    <w:p>
      <w:pPr>
        <w:pStyle w:val="BodyText"/>
      </w:pPr>
      <w:r>
        <w:t xml:space="preserve">Reference:</w:t>
      </w:r>
    </w:p>
    <w:p>
      <w:pPr>
        <w:pStyle w:val="BodyText"/>
      </w:pPr>
      <w:r>
        <w:t xml:space="preserve">FY2025 Annual Audit Engagement — Japan Tokyo Operations</w:t>
      </w:r>
    </w:p>
    <w:bookmarkEnd w:id="21"/>
    <w:bookmarkStart w:id="22" w:name="vendor-auditor-information"/>
    <w:p>
      <w:pPr>
        <w:pStyle w:val="Heading2"/>
      </w:pPr>
      <w:r>
        <w:t xml:space="preserve">2. Vendor / Auditor Information</w:t>
      </w:r>
    </w:p>
    <w:p>
      <w:pPr>
        <w:pStyle w:val="FirstParagraph"/>
      </w:pPr>
      <w:r>
        <w:t xml:space="preserve">Auditor Firm:</w:t>
      </w:r>
    </w:p>
    <w:p>
      <w:pPr>
        <w:pStyle w:val="BodyText"/>
      </w:pPr>
      <w:r>
        <w:t xml:space="preserve">Tokyo Meridian Audit &amp; Assurance Co., Ltd.</w:t>
      </w:r>
    </w:p>
    <w:p>
      <w:pPr>
        <w:pStyle w:val="BodyText"/>
      </w:pPr>
      <w:r>
        <w:t xml:space="preserve">Registered Address:</w:t>
      </w:r>
    </w:p>
    <w:p>
      <w:pPr>
        <w:pStyle w:val="BodyText"/>
      </w:pPr>
      <w:r>
        <w:t xml:space="preserve">1-8-3 Marunouchi, Chiyoda-ku, Tokyo 100-6001, Japan</w:t>
      </w:r>
    </w:p>
    <w:p>
      <w:pPr>
        <w:pStyle w:val="BodyText"/>
      </w:pPr>
      <w:r>
        <w:t xml:space="preserve">Licence No.:</w:t>
      </w:r>
    </w:p>
    <w:p>
      <w:pPr>
        <w:pStyle w:val="BodyText"/>
      </w:pPr>
      <w:r>
        <w:t xml:space="preserve">BOJ-RA-2019-00342 (Board of Auditors, Japan)</w:t>
      </w:r>
    </w:p>
    <w:p>
      <w:pPr>
        <w:pStyle w:val="BodyText"/>
      </w:pPr>
      <w:r>
        <w:t xml:space="preserve">Lead Auditor:</w:t>
      </w:r>
    </w:p>
    <w:p>
      <w:pPr>
        <w:pStyle w:val="BodyText"/>
      </w:pPr>
      <w:r>
        <w:t xml:space="preserve">Certified Public Accountant (CPA) Yuki Nakamura</w:t>
      </w:r>
    </w:p>
    <w:p>
      <w:pPr>
        <w:pStyle w:val="BodyText"/>
      </w:pPr>
      <w:r>
        <w:t xml:space="preserve">Scope of Engagement:</w:t>
      </w:r>
    </w:p>
    <w:p>
      <w:pPr>
        <w:pStyle w:val="BodyText"/>
      </w:pPr>
      <w:r>
        <w:t xml:space="preserve">Full-scope statutory and internal audit for Japan Tokyo operations</w:t>
      </w:r>
    </w:p>
    <w:p>
      <w:pPr>
        <w:pStyle w:val="BodyText"/>
      </w:pPr>
      <w:r>
        <w:t xml:space="preserve">Applicable Standards:</w:t>
      </w:r>
    </w:p>
    <w:p>
      <w:pPr>
        <w:pStyle w:val="BodyText"/>
      </w:pPr>
      <w:r>
        <w:t xml:space="preserve">Japanese Standards on Auditing (JSA), IFRS, and SOX-equivalent controls</w:t>
      </w:r>
    </w:p>
    <w:p>
      <w:pPr>
        <w:pStyle w:val="BodyText"/>
      </w:pPr>
      <w:r>
        <w:t xml:space="preserve">Reporting Jurisdiction:</w:t>
      </w:r>
    </w:p>
    <w:p>
      <w:pPr>
        <w:pStyle w:val="BodyText"/>
      </w:pPr>
      <w:r>
        <w:t xml:space="preserve">Ministry of Finance, Japan — Tokyo Regional Office</w:t>
      </w:r>
    </w:p>
    <w:p>
      <w:pPr>
        <w:pStyle w:val="BodyText"/>
      </w:pPr>
      <w:r>
        <w:t xml:space="preserve">Engagement Period:</w:t>
      </w:r>
    </w:p>
    <w:p>
      <w:pPr>
        <w:pStyle w:val="BodyText"/>
      </w:pPr>
      <w:r>
        <w:t xml:space="preserve">1 July 2025 through 30 September 2025</w:t>
      </w:r>
    </w:p>
    <w:bookmarkEnd w:id="22"/>
    <w:bookmarkStart w:id="23" w:name="line-items-auditor-services-ordered"/>
    <w:p>
      <w:pPr>
        <w:pStyle w:val="Heading2"/>
      </w:pPr>
      <w:r>
        <w:t xml:space="preserve">3. Line Items — Auditor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Statutory financial statement audit for Japan Tokyo headquarters and all affiliated subsidiaries operating within the Tokyo metropolitan area</w:t>
            </w:r>
          </w:p>
        </w:tc>
        <w:tc>
          <w:tcPr/>
          <w:p>
            <w:pPr>
              <w:pStyle w:val="Compact"/>
              <w:jc w:val="left"/>
            </w:pPr>
            <w:r>
              <w:t xml:space="preserve">1 engagement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Internal control assessment and compliance review aligned with Japanese Corporate Governance Code, conducted by a dedicated Auditor team of four professionals</w:t>
            </w:r>
          </w:p>
        </w:tc>
        <w:tc>
          <w:tcPr/>
          <w:p>
            <w:pPr>
              <w:pStyle w:val="Compact"/>
              <w:jc w:val="left"/>
            </w:pPr>
            <w:r>
              <w:t xml:space="preserve">6 weeks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Forensic audit and transaction testing for high-risk procurement cycles within the Japan Tokyo supply chain division</w:t>
            </w:r>
          </w:p>
        </w:tc>
        <w:tc>
          <w:tcPr/>
          <w:p>
            <w:pPr>
              <w:pStyle w:val="Compact"/>
              <w:jc w:val="left"/>
            </w:pPr>
            <w:r>
              <w:t xml:space="preserve">3 weeks</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IT general controls audit covering all ERP systems deployed at the Japan Tokyo data centre (Shinjuku facility)</w:t>
            </w:r>
          </w:p>
        </w:tc>
        <w:tc>
          <w:tcPr/>
          <w:p>
            <w:pPr>
              <w:pStyle w:val="Compact"/>
              <w:jc w:val="left"/>
            </w:pPr>
            <w:r>
              <w:t xml:space="preserve">2 weeks</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05</w:t>
            </w:r>
          </w:p>
        </w:tc>
        <w:tc>
          <w:tcPr/>
          <w:p>
            <w:pPr>
              <w:pStyle w:val="Compact"/>
              <w:jc w:val="left"/>
            </w:pPr>
            <w:r>
              <w:t xml:space="preserve">Preparation and filing of the Auditor's report with the Tokyo Regional Tax Office and the Financial Services Agency of Japan</w:t>
            </w:r>
          </w:p>
        </w:tc>
        <w:tc>
          <w:tcPr/>
          <w:p>
            <w:pPr>
              <w:pStyle w:val="Compact"/>
              <w:jc w:val="left"/>
            </w:pPr>
            <w:r>
              <w:t xml:space="preserve">1 deliverable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On-site advisory sessions with the Japan Tokyo board of directors regarding audit findings, remediation planning, and governance recommendations</w:t>
            </w:r>
          </w:p>
        </w:tc>
        <w:tc>
          <w:tcPr/>
          <w:p>
            <w:pPr>
              <w:pStyle w:val="Compact"/>
              <w:jc w:val="left"/>
            </w:pPr>
            <w:r>
              <w:t xml:space="preserve">4 sessions</w:t>
            </w:r>
          </w:p>
        </w:tc>
        <w:tc>
          <w:tcPr/>
          <w:p>
            <w:pPr>
              <w:pStyle w:val="Compact"/>
              <w:jc w:val="left"/>
            </w:pPr>
            <w:r>
              <w:t xml:space="preserve">350,000</w:t>
            </w:r>
          </w:p>
        </w:tc>
        <w:tc>
          <w:tcPr/>
          <w:p>
            <w:pPr>
              <w:pStyle w:val="Compact"/>
              <w:jc w:val="left"/>
            </w:pPr>
            <w:r>
              <w:t xml:space="preserve">1,400,000</w:t>
            </w:r>
          </w:p>
        </w:tc>
      </w:tr>
      <w:tr>
        <w:tc>
          <w:tcPr>
            <w:gridSpan w:val="4"/>
          </w:tcPr>
          <w:p>
            <w:pPr>
              <w:pStyle w:val="Compact"/>
              <w:jc w:val="left"/>
            </w:pPr>
            <w:r>
              <w:t xml:space="preserve">Subtotal</w:t>
            </w:r>
          </w:p>
        </w:tc>
        <w:tc>
          <w:tcPr/>
          <w:p>
            <w:pPr>
              <w:pStyle w:val="Compact"/>
              <w:jc w:val="left"/>
            </w:pPr>
            <w:r>
              <w:t xml:space="preserve">18,280,000</w:t>
            </w:r>
          </w:p>
        </w:tc>
      </w:tr>
      <w:tr>
        <w:tc>
          <w:tcPr>
            <w:gridSpan w:val="4"/>
          </w:tcPr>
          <w:p>
            <w:pPr>
              <w:pStyle w:val="Compact"/>
              <w:jc w:val="left"/>
            </w:pPr>
            <w:r>
              <w:t xml:space="preserve">Consumption Tax (10%)</w:t>
            </w:r>
          </w:p>
        </w:tc>
        <w:tc>
          <w:tcPr/>
          <w:p>
            <w:pPr>
              <w:pStyle w:val="Compact"/>
              <w:jc w:val="left"/>
            </w:pPr>
            <w:r>
              <w:t xml:space="preserve">1,828,000</w:t>
            </w:r>
          </w:p>
        </w:tc>
      </w:tr>
      <w:tr>
        <w:tc>
          <w:tcPr>
            <w:gridSpan w:val="4"/>
          </w:tcPr>
          <w:p>
            <w:pPr>
              <w:pStyle w:val="Compact"/>
              <w:jc w:val="left"/>
            </w:pPr>
            <w:r>
              <w:t xml:space="preserve">Total Purchase Order Value</w:t>
            </w:r>
          </w:p>
        </w:tc>
        <w:tc>
          <w:tcPr/>
          <w:p>
            <w:pPr>
              <w:pStyle w:val="Compact"/>
              <w:jc w:val="left"/>
            </w:pPr>
            <w:r>
              <w:t xml:space="preserve">20,108,000 JPY</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Shinagawa Industrial Holdings K.K. (hereinafter "the Client") and Tokyo Meridian Audit &amp; Assurance Co., Ltd. (hereinafter "the Auditor") for the provision of professional auditing services within the Japan Tokyo metropolitan region.</w:t>
      </w:r>
    </w:p>
    <w:p>
      <w:pPr>
        <w:numPr>
          <w:ilvl w:val="0"/>
          <w:numId w:val="1001"/>
        </w:numPr>
        <w:pStyle w:val="Compact"/>
      </w:pPr>
      <w:r>
        <w:t xml:space="preserve">The Auditor shall perform all duties in strict accordance with the Japanese Standards on Auditing (JSA), the International Standards on Auditing (ISA) as adopted in Japan, and all applicable regulations issued by the Board of Auditors of Japan and the Financial Services Agency.</w:t>
      </w:r>
    </w:p>
    <w:p>
      <w:pPr>
        <w:numPr>
          <w:ilvl w:val="0"/>
          <w:numId w:val="1001"/>
        </w:numPr>
        <w:pStyle w:val="Compact"/>
      </w:pPr>
      <w:r>
        <w:t xml:space="preserve">The Auditor shall maintain full independence and objectivity throughout the engagement. Any conflict of interest arising during the audit period in Japan Tokyo must be disclosed in writing to the Client within forty-eight (48) hours of identification.</w:t>
      </w:r>
    </w:p>
    <w:p>
      <w:pPr>
        <w:numPr>
          <w:ilvl w:val="0"/>
          <w:numId w:val="1001"/>
        </w:numPr>
        <w:pStyle w:val="Compact"/>
      </w:pPr>
      <w:r>
        <w:t xml:space="preserve">All work product, including interim reports, working papers, and the final Auditor's report, shall be delivered in both Japanese and English to the Client's Japan Tokyo headquarters no later than the Required Completion Date stated in Section 1.</w:t>
      </w:r>
    </w:p>
    <w:p>
      <w:pPr>
        <w:numPr>
          <w:ilvl w:val="0"/>
          <w:numId w:val="1001"/>
        </w:numPr>
        <w:pStyle w:val="Compact"/>
      </w:pPr>
      <w:r>
        <w:t xml:space="preserve">The Client shall provide the Auditor with unrestricted access to all financial records, ledgers, physical assets, and personnel located at the Japan Tokyo facilities during the engagement period. Access shall be coordinated through the Client's Director of Finance.</w:t>
      </w:r>
    </w:p>
    <w:p>
      <w:pPr>
        <w:numPr>
          <w:ilvl w:val="0"/>
          <w:numId w:val="1001"/>
        </w:numPr>
        <w:pStyle w:val="Compact"/>
      </w:pPr>
      <w:r>
        <w:t xml:space="preserve">Payment shall be made via bank transfer to the Auditor's designated account in Japan within thirty (30) calendar days of receipt of a valid invoice. Late payments shall accrue interest at the rate of 1.5% per month as stipulated under Japanese commercial law.</w:t>
      </w:r>
    </w:p>
    <w:p>
      <w:pPr>
        <w:numPr>
          <w:ilvl w:val="0"/>
          <w:numId w:val="1001"/>
        </w:numPr>
        <w:pStyle w:val="Compact"/>
      </w:pPr>
      <w:r>
        <w:t xml:space="preserve">The Auditor shall comply with all data protection obligations under the Act on the Protection of Personal Information (APPI) of Japan. All client data processed during the audit in Japan Tokyo shall be stored on servers physically located within Japan and shall not be transferred outside the country without prior written consent.</w:t>
      </w:r>
    </w:p>
    <w:p>
      <w:pPr>
        <w:numPr>
          <w:ilvl w:val="0"/>
          <w:numId w:val="1001"/>
        </w:numPr>
        <w:pStyle w:val="Compact"/>
      </w:pPr>
      <w:r>
        <w:t xml:space="preserve">This Purchase Order is governed by and shall be construed in accordance with the laws of Japan. Any disputes arising from this Purchase Order shall be resolved through arbitration administered by the Japan Commercial Arbitration Association (JCAA) in Tokyo.</w:t>
      </w:r>
    </w:p>
    <w:p>
      <w:pPr>
        <w:numPr>
          <w:ilvl w:val="0"/>
          <w:numId w:val="1001"/>
        </w:numPr>
        <w:pStyle w:val="Compact"/>
      </w:pPr>
      <w:r>
        <w:t xml:space="preserve">The Auditor shall carry professional indemnity insurance with a minimum coverage of 500,000,000 JPY, valid for the duration of the engagement and for a period of two (2) years thereafter.</w:t>
      </w:r>
    </w:p>
    <w:p>
      <w:pPr>
        <w:numPr>
          <w:ilvl w:val="0"/>
          <w:numId w:val="1001"/>
        </w:numPr>
        <w:pStyle w:val="Compact"/>
      </w:pPr>
      <w:r>
        <w:t xml:space="preserve">Neither party may assign its obligations under this Purchase Order without the prior written consent of the other party. This Purchase Order may be amended only by a written addendum signed by authorized representatives of both parties.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the terms, scope, and financial obligations set forth in this Purchase Order for the engagement of the Auditor in Japan Tokyo.</w:t>
      </w:r>
    </w:p>
    <w:p>
      <w:pPr>
        <w:pStyle w:val="BodyText"/>
      </w:pPr>
      <w:r>
        <w:rPr>
          <w:bCs/>
          <w:b/>
        </w:rPr>
        <w:t xml:space="preserve">For the Client:</w:t>
      </w:r>
      <w:r>
        <w:br/>
      </w:r>
      <w:r>
        <w:t xml:space="preserve">Shinagawa Industrial Holdings K.K.</w:t>
      </w:r>
      <w:r>
        <w:br/>
      </w:r>
      <w:r>
        <w:br/>
      </w:r>
      <w:r>
        <w:t xml:space="preserve">Signature: ___________________________</w:t>
      </w:r>
      <w:r>
        <w:br/>
      </w:r>
      <w:r>
        <w:t xml:space="preserve">Name: Kenji Tanaka</w:t>
      </w:r>
      <w:r>
        <w:br/>
      </w:r>
      <w:r>
        <w:t xml:space="preserve">Title: Director of Finance</w:t>
      </w:r>
      <w:r>
        <w:br/>
      </w:r>
      <w:r>
        <w:t xml:space="preserve">Date: _______________</w:t>
      </w:r>
    </w:p>
    <w:p>
      <w:pPr>
        <w:pStyle w:val="BodyText"/>
      </w:pPr>
      <w:r>
        <w:rPr>
          <w:bCs/>
          <w:b/>
        </w:rPr>
        <w:t xml:space="preserve">For the Auditor:</w:t>
      </w:r>
      <w:r>
        <w:br/>
      </w:r>
      <w:r>
        <w:t xml:space="preserve">Tokyo Meridian Audit &amp; Assurance Co., Ltd.</w:t>
      </w:r>
      <w:r>
        <w:br/>
      </w:r>
      <w:r>
        <w:br/>
      </w:r>
      <w:r>
        <w:t xml:space="preserve">Signature: ___________________________</w:t>
      </w:r>
      <w:r>
        <w:br/>
      </w:r>
      <w:r>
        <w:t xml:space="preserve">Name: Yuki Nakamura, CPA</w:t>
      </w:r>
      <w:r>
        <w:br/>
      </w:r>
      <w:r>
        <w:t xml:space="preserve">Title: Lead Auditor / Engagement Partner</w:t>
      </w:r>
      <w:r>
        <w:br/>
      </w:r>
      <w:r>
        <w:t xml:space="preserve">Date: _______________</w:t>
      </w:r>
    </w:p>
    <w:bookmarkEnd w:id="25"/>
    <w:p>
      <w:pPr>
        <w:pStyle w:val="BodyText"/>
      </w:pPr>
      <w:r>
        <w:t xml:space="preserve">Purchase Order No. JPT-2025-04871 — Auditor Services — Japan Tokyo</w:t>
      </w:r>
      <w:r>
        <w:br/>
      </w:r>
      <w:r>
        <w:t xml:space="preserve">This document is issued by Shinagawa Industrial Holdings K.K. and is valid only for the engagement described herein.</w:t>
      </w:r>
      <w:r>
        <w:br/>
      </w:r>
      <w:r>
        <w:t xml:space="preserve">© 2025 Shinagawa Industrial Holdings K.K. All rights reserved. | Tokyo,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Japan Tokyo</dc:title>
  <dc:creator/>
  <dc:language>en</dc:language>
  <cp:keywords/>
  <dcterms:created xsi:type="dcterms:W3CDTF">2026-10-10T03:00:05Z</dcterms:created>
  <dcterms:modified xsi:type="dcterms:W3CDTF">2026-10-10T03:00:05Z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