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Ref: PO/KL/AUD/2025/0047</w:t>
      </w:r>
    </w:p>
    <w:p>
      <w:pPr>
        <w:pStyle w:val="BodyText"/>
      </w:pPr>
      <w:r>
        <w:t xml:space="preserve">Engagement of Professional Auditor Services</w:t>
      </w:r>
    </w:p>
    <w:p>
      <w:pPr>
        <w:pStyle w:val="BodyText"/>
      </w:pPr>
      <w:r>
        <w:t xml:space="preserve">Issued in Malaysia Kuala Lumpur</w:t>
      </w:r>
    </w:p>
    <w:bookmarkEnd w:id="20"/>
    <w:p>
      <w:pPr>
        <w:pStyle w:val="BodyText"/>
      </w:pPr>
      <w:r>
        <w:rPr>
          <w:bCs/>
          <w:b/>
        </w:rPr>
        <w:t xml:space="preserve">Purchase Order No.:</w:t>
      </w:r>
      <w:r>
        <w:t xml:space="preserve"> </w:t>
      </w:r>
      <w:r>
        <w:t xml:space="preserve">PO/KL/AUD/2025/0047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Malaysian Ringgit (MYR)</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Meridian Holdings Berhad</w:t>
      </w:r>
    </w:p>
    <w:p>
      <w:pPr>
        <w:pStyle w:val="BodyText"/>
      </w:pPr>
      <w:r>
        <w:t xml:space="preserve">Level 32, Menara Maxis, Jalan Tun Razak</w:t>
      </w:r>
    </w:p>
    <w:p>
      <w:pPr>
        <w:pStyle w:val="BodyText"/>
      </w:pPr>
      <w:r>
        <w:t xml:space="preserve">50400 Malaysia Kuala Lumpur, Federal Territory</w:t>
      </w:r>
    </w:p>
    <w:p>
      <w:pPr>
        <w:pStyle w:val="BodyText"/>
      </w:pPr>
      <w:r>
        <w:t xml:space="preserve">Company Registration No.: 200301456789 (567890-A)</w:t>
      </w:r>
    </w:p>
    <w:p>
      <w:pPr>
        <w:pStyle w:val="BodyText"/>
      </w:pPr>
      <w:r>
        <w:t xml:space="preserve">Attention: Mr. Tan Wei Keat, Chief Financial Officer</w:t>
      </w:r>
    </w:p>
    <w:p>
      <w:pPr>
        <w:pStyle w:val="BodyText"/>
      </w:pPr>
      <w:r>
        <w:t xml:space="preserve">Email: cfo@meridianholdings.my | Tel: +603-2181-4400</w:t>
      </w:r>
    </w:p>
    <w:bookmarkEnd w:id="21"/>
    <w:bookmarkStart w:id="22" w:name="supplier-service-provider-auditor"/>
    <w:p>
      <w:pPr>
        <w:pStyle w:val="Heading3"/>
      </w:pPr>
      <w:r>
        <w:t xml:space="preserve">Supplier (Service Provider – Auditor):</w:t>
      </w:r>
    </w:p>
    <w:p>
      <w:pPr>
        <w:pStyle w:val="FirstParagraph"/>
      </w:pPr>
      <w:r>
        <w:rPr>
          <w:bCs/>
          <w:b/>
        </w:rPr>
        <w:t xml:space="preserve">Chong &amp; Partners Audit Sdn. Bhd.</w:t>
      </w:r>
    </w:p>
    <w:p>
      <w:pPr>
        <w:pStyle w:val="BodyText"/>
      </w:pPr>
      <w:r>
        <w:t xml:space="preserve">Suite 1804, Level 18, The Exchange TRX, Persiaran TRX 1</w:t>
      </w:r>
    </w:p>
    <w:p>
      <w:pPr>
        <w:pStyle w:val="BodyText"/>
      </w:pPr>
      <w:r>
        <w:t xml:space="preserve">55188 Malaysia Kuala Lumpur, Federal Territory</w:t>
      </w:r>
    </w:p>
    <w:p>
      <w:pPr>
        <w:pStyle w:val="BodyText"/>
      </w:pPr>
      <w:r>
        <w:t xml:space="preserve">Registration No.: 199801234567 (123456-K)</w:t>
      </w:r>
    </w:p>
    <w:p>
      <w:pPr>
        <w:pStyle w:val="BodyText"/>
      </w:pPr>
      <w:r>
        <w:t xml:space="preserve">Registered Auditor with the Malaysian Institute of Accountants (MIA)</w:t>
      </w:r>
    </w:p>
    <w:p>
      <w:pPr>
        <w:pStyle w:val="BodyText"/>
      </w:pPr>
      <w:r>
        <w:t xml:space="preserve">Attention: Ms. Lim Siew Lan, Managing Partner &amp; Lead Auditor</w:t>
      </w:r>
    </w:p>
    <w:p>
      <w:pPr>
        <w:pStyle w:val="BodyText"/>
      </w:pPr>
      <w:r>
        <w:t xml:space="preserve">Email: engagement@chongpartners.my | Tel: +603-2287-6600</w:t>
      </w:r>
    </w:p>
    <w:bookmarkEnd w:id="22"/>
    <w:p>
      <w:pPr>
        <w:pStyle w:val="BodyText"/>
      </w:pPr>
      <w:r>
        <w:t xml:space="preserve">2. DESCRIPTION OF SERVICES – AUDITOR ENGAGEMENT</w:t>
      </w:r>
    </w:p>
    <w:p>
      <w:pPr>
        <w:pStyle w:val="BodyText"/>
      </w:pPr>
      <w:r>
        <w:t xml:space="preserve">This Purchase Order is issued by Meridian Holdings Berhad to formally engage the services of Chong &amp; Partners Audit Sdn. Bhd. as the appointed</w:t>
      </w:r>
      <w:r>
        <w:t xml:space="preserve"> </w:t>
      </w:r>
      <w:r>
        <w:t xml:space="preserve">Auditor</w:t>
      </w:r>
      <w:r>
        <w:t xml:space="preserve"> </w:t>
      </w:r>
      <w:r>
        <w:t xml:space="preserve">for the financial year ending 31 December 2025. The</w:t>
      </w:r>
      <w:r>
        <w:t xml:space="preserve"> </w:t>
      </w:r>
      <w:r>
        <w:t xml:space="preserve">Auditor</w:t>
      </w:r>
      <w:r>
        <w:t xml:space="preserve"> </w:t>
      </w:r>
      <w:r>
        <w:t xml:space="preserve">shall conduct a full statutory audit of the company's financial statements in compliance with the Companies Act 2016 of Malaysia, the Malaysian Financial Reporting Standards (MFRS), and the International Standards on Auditing (ISA) as adopted in Malaysia. All audit procedures shall be performed at the registered office of the Buyer located in</w:t>
      </w:r>
      <w:r>
        <w:t xml:space="preserve"> </w:t>
      </w:r>
      <w:r>
        <w:t xml:space="preserve">Malaysia Kuala Lumpur</w:t>
      </w:r>
      <w:r>
        <w:t xml:space="preserve">, with additional fieldwork at subsidiary offices within the Klang Valley region as required.</w:t>
      </w:r>
    </w:p>
    <w:p>
      <w:pPr>
        <w:pStyle w:val="BodyText"/>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Statutory Audit of Annual Financial Statements (FY 2025) – including balance sheet, income statement, cash flow statement, and notes to accounts</w:t>
            </w:r>
          </w:p>
        </w:tc>
        <w:tc>
          <w:tcPr/>
          <w:p>
            <w:pPr>
              <w:pStyle w:val="Compact"/>
              <w:jc w:val="left"/>
            </w:pPr>
            <w:r>
              <w:t xml:space="preserve">Jan – Apr 2026</w:t>
            </w:r>
          </w:p>
        </w:tc>
        <w:tc>
          <w:tcPr/>
          <w:p>
            <w:pPr>
              <w:pStyle w:val="Compact"/>
              <w:jc w:val="left"/>
            </w:pPr>
            <w:r>
              <w:t xml:space="preserve">Fixed Fee</w:t>
            </w:r>
          </w:p>
        </w:tc>
        <w:tc>
          <w:tcPr/>
          <w:p>
            <w:pPr>
              <w:pStyle w:val="Compact"/>
              <w:jc w:val="left"/>
            </w:pPr>
            <w:r>
              <w:t xml:space="preserve">185,000.00</w:t>
            </w:r>
          </w:p>
        </w:tc>
        <w:tc>
          <w:tcPr/>
          <w:p>
            <w:pPr>
              <w:pStyle w:val="Compact"/>
              <w:jc w:val="left"/>
            </w:pPr>
            <w:r>
              <w:t xml:space="preserve">Lead Auditor team of 5</w:t>
            </w:r>
          </w:p>
        </w:tc>
      </w:tr>
      <w:tr>
        <w:tc>
          <w:tcPr/>
          <w:p>
            <w:pPr>
              <w:pStyle w:val="Compact"/>
              <w:jc w:val="left"/>
            </w:pPr>
            <w:r>
              <w:t xml:space="preserve">2</w:t>
            </w:r>
          </w:p>
        </w:tc>
        <w:tc>
          <w:tcPr/>
          <w:p>
            <w:pPr>
              <w:pStyle w:val="Compact"/>
              <w:jc w:val="left"/>
            </w:pPr>
            <w:r>
              <w:t xml:space="preserve">Internal Audit Review – Operational and Compliance Audit across all departments in Malaysia Kuala Lumpur headquarters</w:t>
            </w:r>
          </w:p>
        </w:tc>
        <w:tc>
          <w:tcPr/>
          <w:p>
            <w:pPr>
              <w:pStyle w:val="Compact"/>
              <w:jc w:val="left"/>
            </w:pPr>
            <w:r>
              <w:t xml:space="preserve">Feb – Mar 2026</w:t>
            </w:r>
          </w:p>
        </w:tc>
        <w:tc>
          <w:tcPr/>
          <w:p>
            <w:pPr>
              <w:pStyle w:val="Compact"/>
              <w:jc w:val="left"/>
            </w:pPr>
            <w:r>
              <w:t xml:space="preserve">Fixed Fee</w:t>
            </w:r>
          </w:p>
        </w:tc>
        <w:tc>
          <w:tcPr/>
          <w:p>
            <w:pPr>
              <w:pStyle w:val="Compact"/>
              <w:jc w:val="left"/>
            </w:pPr>
            <w:r>
              <w:t xml:space="preserve">92,500.00</w:t>
            </w:r>
          </w:p>
        </w:tc>
        <w:tc>
          <w:tcPr/>
          <w:p>
            <w:pPr>
              <w:pStyle w:val="Compact"/>
              <w:jc w:val="left"/>
            </w:pPr>
            <w:r>
              <w:t xml:space="preserve">3 auditors on-site</w:t>
            </w:r>
          </w:p>
        </w:tc>
      </w:tr>
      <w:tr>
        <w:tc>
          <w:tcPr/>
          <w:p>
            <w:pPr>
              <w:pStyle w:val="Compact"/>
              <w:jc w:val="left"/>
            </w:pPr>
            <w:r>
              <w:t xml:space="preserve">3</w:t>
            </w:r>
          </w:p>
        </w:tc>
        <w:tc>
          <w:tcPr/>
          <w:p>
            <w:pPr>
              <w:pStyle w:val="Compact"/>
              <w:jc w:val="left"/>
            </w:pPr>
            <w:r>
              <w:t xml:space="preserve">Tax Compliance Audit and Transfer Pricing Documentation Review</w:t>
            </w:r>
          </w:p>
        </w:tc>
        <w:tc>
          <w:tcPr/>
          <w:p>
            <w:pPr>
              <w:pStyle w:val="Compact"/>
              <w:jc w:val="left"/>
            </w:pPr>
            <w:r>
              <w:t xml:space="preserve">Mar 2026</w:t>
            </w:r>
          </w:p>
        </w:tc>
        <w:tc>
          <w:tcPr/>
          <w:p>
            <w:pPr>
              <w:pStyle w:val="Compact"/>
              <w:jc w:val="left"/>
            </w:pPr>
            <w:r>
              <w:t xml:space="preserve">Fixed Fee</w:t>
            </w:r>
          </w:p>
        </w:tc>
        <w:tc>
          <w:tcPr/>
          <w:p>
            <w:pPr>
              <w:pStyle w:val="Compact"/>
              <w:jc w:val="left"/>
            </w:pPr>
            <w:r>
              <w:t xml:space="preserve">48,000.00</w:t>
            </w:r>
          </w:p>
        </w:tc>
        <w:tc>
          <w:tcPr/>
          <w:p>
            <w:pPr>
              <w:pStyle w:val="Compact"/>
              <w:jc w:val="left"/>
            </w:pPr>
            <w:r>
              <w:t xml:space="preserve">Per LHDN requirements</w:t>
            </w:r>
          </w:p>
        </w:tc>
      </w:tr>
      <w:tr>
        <w:tc>
          <w:tcPr/>
          <w:p>
            <w:pPr>
              <w:pStyle w:val="Compact"/>
              <w:jc w:val="left"/>
            </w:pPr>
            <w:r>
              <w:t xml:space="preserve">4</w:t>
            </w:r>
          </w:p>
        </w:tc>
        <w:tc>
          <w:tcPr/>
          <w:p>
            <w:pPr>
              <w:pStyle w:val="Compact"/>
              <w:jc w:val="left"/>
            </w:pPr>
            <w:r>
              <w:t xml:space="preserve">IT General Controls Audit – ERP System (SAP) and Cybersecurity Compliance Assessment</w:t>
            </w:r>
          </w:p>
        </w:tc>
        <w:tc>
          <w:tcPr/>
          <w:p>
            <w:pPr>
              <w:pStyle w:val="Compact"/>
              <w:jc w:val="left"/>
            </w:pPr>
            <w:r>
              <w:t xml:space="preserve">Apr 2026</w:t>
            </w:r>
          </w:p>
        </w:tc>
        <w:tc>
          <w:tcPr/>
          <w:p>
            <w:pPr>
              <w:pStyle w:val="Compact"/>
              <w:jc w:val="left"/>
            </w:pPr>
            <w:r>
              <w:t xml:space="preserve">Fixed Fee</w:t>
            </w:r>
          </w:p>
        </w:tc>
        <w:tc>
          <w:tcPr/>
          <w:p>
            <w:pPr>
              <w:pStyle w:val="Compact"/>
              <w:jc w:val="left"/>
            </w:pPr>
            <w:r>
              <w:t xml:space="preserve">37,500.00</w:t>
            </w:r>
          </w:p>
        </w:tc>
        <w:tc>
          <w:tcPr/>
          <w:p>
            <w:pPr>
              <w:pStyle w:val="Compact"/>
              <w:jc w:val="left"/>
            </w:pPr>
            <w:r>
              <w:t xml:space="preserve">Specialist Auditor</w:t>
            </w:r>
          </w:p>
        </w:tc>
      </w:tr>
      <w:tr>
        <w:tc>
          <w:tcPr/>
          <w:p>
            <w:pPr>
              <w:pStyle w:val="Compact"/>
              <w:jc w:val="left"/>
            </w:pPr>
            <w:r>
              <w:t xml:space="preserve">5</w:t>
            </w:r>
          </w:p>
        </w:tc>
        <w:tc>
          <w:tcPr/>
          <w:p>
            <w:pPr>
              <w:pStyle w:val="Compact"/>
              <w:jc w:val="left"/>
            </w:pPr>
            <w:r>
              <w:t xml:space="preserve">Board of Directors Audit Committee Reporting – Quarterly presentations and ad-hoc consultations</w:t>
            </w:r>
          </w:p>
        </w:tc>
        <w:tc>
          <w:tcPr/>
          <w:p>
            <w:pPr>
              <w:pStyle w:val="Compact"/>
              <w:jc w:val="left"/>
            </w:pPr>
            <w:r>
              <w:t xml:space="preserve">Annual</w:t>
            </w:r>
          </w:p>
        </w:tc>
        <w:tc>
          <w:tcPr/>
          <w:p>
            <w:pPr>
              <w:pStyle w:val="Compact"/>
              <w:jc w:val="left"/>
            </w:pPr>
            <w:r>
              <w:t xml:space="preserve">Fixed Fee</w:t>
            </w:r>
          </w:p>
        </w:tc>
        <w:tc>
          <w:tcPr/>
          <w:p>
            <w:pPr>
              <w:pStyle w:val="Compact"/>
              <w:jc w:val="left"/>
            </w:pPr>
            <w:r>
              <w:t xml:space="preserve">24,000.00</w:t>
            </w:r>
          </w:p>
        </w:tc>
        <w:tc>
          <w:tcPr/>
          <w:p>
            <w:pPr>
              <w:pStyle w:val="Compact"/>
              <w:jc w:val="left"/>
            </w:pPr>
            <w:r>
              <w:t xml:space="preserve">4 sessions</w:t>
            </w:r>
          </w:p>
        </w:tc>
      </w:tr>
      <w:tr>
        <w:tc>
          <w:tcPr/>
          <w:p>
            <w:pPr>
              <w:pStyle w:val="Compact"/>
              <w:jc w:val="left"/>
            </w:pPr>
            <w:r>
              <w:t xml:space="preserve">6</w:t>
            </w:r>
          </w:p>
        </w:tc>
        <w:tc>
          <w:tcPr/>
          <w:p>
            <w:pPr>
              <w:pStyle w:val="Compact"/>
              <w:jc w:val="left"/>
            </w:pPr>
            <w:r>
              <w:t xml:space="preserve">Travel, Accommodation, and Miscellaneous Expenses (within Malaysia Kuala Lumpur and Klang Valley)</w:t>
            </w:r>
          </w:p>
        </w:tc>
        <w:tc>
          <w:tcPr/>
          <w:p>
            <w:pPr>
              <w:pStyle w:val="Compact"/>
              <w:jc w:val="left"/>
            </w:pPr>
            <w:r>
              <w:t xml:space="preserve">Annual</w:t>
            </w:r>
          </w:p>
        </w:tc>
        <w:tc>
          <w:tcPr/>
          <w:p>
            <w:pPr>
              <w:pStyle w:val="Compact"/>
              <w:jc w:val="left"/>
            </w:pPr>
            <w:r>
              <w:t xml:space="preserve">Estimated</w:t>
            </w:r>
          </w:p>
        </w:tc>
        <w:tc>
          <w:tcPr/>
          <w:p>
            <w:pPr>
              <w:pStyle w:val="Compact"/>
              <w:jc w:val="left"/>
            </w:pPr>
            <w:r>
              <w:t xml:space="preserve">15,000.00</w:t>
            </w:r>
          </w:p>
        </w:tc>
        <w:tc>
          <w:tcPr/>
          <w:p>
            <w:pPr>
              <w:pStyle w:val="Compact"/>
              <w:jc w:val="left"/>
            </w:pPr>
            <w:r>
              <w:t xml:space="preserve">Subject to actuals</w:t>
            </w:r>
          </w:p>
        </w:tc>
      </w:tr>
      <w:tr>
        <w:tc>
          <w:tcPr>
            <w:gridSpan w:val="4"/>
          </w:tcPr>
          <w:p>
            <w:pPr>
              <w:pStyle w:val="Compact"/>
              <w:jc w:val="right"/>
            </w:pPr>
            <w:r>
              <w:t xml:space="preserve">TOTAL AMOUNT DUE (MYR):</w:t>
            </w:r>
          </w:p>
        </w:tc>
        <w:tc>
          <w:tcPr/>
          <w:p>
            <w:pPr>
              <w:pStyle w:val="Compact"/>
              <w:jc w:val="left"/>
            </w:pPr>
            <w:r>
              <w:t xml:space="preserve">402,000.00</w:t>
            </w:r>
          </w:p>
        </w:tc>
        <w:tc>
          <w:tcPr/>
          <w:p>
            <w:pPr>
              <w:pStyle w:val="Compact"/>
            </w:pPr>
          </w:p>
        </w:tc>
      </w:tr>
    </w:tbl>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The total Purchase Order value of MYR 402,000.00 shall be paid in three (3) instalments: 40% (MYR 160,800.00) upon execution of this Purchase Order; 40% (MYR 160,800.00) upon completion of the interim audit fieldwork; and 20% (MYR 80,400.00) upon issuance of the final Auditor's report and acceptance by the Board of Directors.</w:t>
      </w:r>
    </w:p>
    <w:p>
      <w:pPr>
        <w:numPr>
          <w:ilvl w:val="0"/>
          <w:numId w:val="1001"/>
        </w:numPr>
        <w:pStyle w:val="Compact"/>
      </w:pPr>
      <w:r>
        <w:rPr>
          <w:bCs/>
          <w:b/>
        </w:rPr>
        <w:t xml:space="preserve">Payment Method:</w:t>
      </w:r>
      <w:r>
        <w:t xml:space="preserve"> </w:t>
      </w:r>
      <w:r>
        <w:t xml:space="preserve">All payments shall be made via bank transfer to the Auditor's designated account: Maybank Berhad, Account Name: Chong &amp; Partners Audit Sdn. Bhd., Account No.: 5123-4567-8901, Branch: Malaysia Kuala Lumpur (014).</w:t>
      </w:r>
    </w:p>
    <w:p>
      <w:pPr>
        <w:numPr>
          <w:ilvl w:val="0"/>
          <w:numId w:val="1001"/>
        </w:numPr>
        <w:pStyle w:val="Compact"/>
      </w:pPr>
      <w:r>
        <w:rPr>
          <w:bCs/>
          <w:b/>
        </w:rPr>
        <w:t xml:space="preserve">Payment Terms:</w:t>
      </w:r>
      <w:r>
        <w:t xml:space="preserve"> </w:t>
      </w:r>
      <w:r>
        <w:t xml:space="preserve">Payment shall be due within thirty (30) calendar days from the date of receipt of a valid tax invoice issued by the Auditor. Late payments shall attract interest at the rate of 5% per annum as stipulated under the Hire Purchase Act 1967 (Malaysia).</w:t>
      </w:r>
    </w:p>
    <w:p>
      <w:pPr>
        <w:numPr>
          <w:ilvl w:val="0"/>
          <w:numId w:val="1001"/>
        </w:numPr>
        <w:pStyle w:val="Compact"/>
      </w:pPr>
      <w:r>
        <w:rPr>
          <w:bCs/>
          <w:b/>
        </w:rPr>
        <w:t xml:space="preserve">Tax:</w:t>
      </w:r>
      <w:r>
        <w:t xml:space="preserve"> </w:t>
      </w:r>
      <w:r>
        <w:t xml:space="preserve">All amounts are exclusive of Service Tax at 6% as applicable under the Service Tax Act 2018 of Malaysia. The Auditor shall issue a proper tax invoice with the relevant SST registration number.</w:t>
      </w:r>
    </w:p>
    <w:p>
      <w:pPr>
        <w:pStyle w:val="FirstParagraph"/>
      </w:pPr>
      <w:r>
        <w:t xml:space="preserve">5. TERMS AND CONDITIONS OF THIS PURCHASE ORDER</w:t>
      </w:r>
    </w:p>
    <w:p>
      <w:pPr>
        <w:numPr>
          <w:ilvl w:val="0"/>
          <w:numId w:val="1002"/>
        </w:numPr>
        <w:pStyle w:val="Compact"/>
      </w:pPr>
      <w:r>
        <w:rPr>
          <w:bCs/>
          <w:b/>
        </w:rPr>
        <w:t xml:space="preserve">5.1</w:t>
      </w:r>
      <w:r>
        <w:t xml:space="preserve"> </w:t>
      </w:r>
      <w:r>
        <w:t xml:space="preserve">This Purchase Order constitutes a binding agreement between the Buyer and the Auditor upon signature by both parties. The Auditor acknowledges receipt and acceptance of all terms herein.</w:t>
      </w:r>
    </w:p>
    <w:p>
      <w:pPr>
        <w:numPr>
          <w:ilvl w:val="0"/>
          <w:numId w:val="1002"/>
        </w:numPr>
        <w:pStyle w:val="Compact"/>
      </w:pPr>
      <w:r>
        <w:rPr>
          <w:bCs/>
          <w:b/>
        </w:rPr>
        <w:t xml:space="preserve">5.2</w:t>
      </w:r>
      <w:r>
        <w:t xml:space="preserve"> </w:t>
      </w:r>
      <w:r>
        <w:t xml:space="preserve">The Auditor shall maintain full professional independence and objectivity as required by the Malaysian Institute of Accountants (MIA) Code of Ethics. The Auditor shall disclose any conflicts of interest to the Buyer prior to commencing work.</w:t>
      </w:r>
    </w:p>
    <w:p>
      <w:pPr>
        <w:numPr>
          <w:ilvl w:val="0"/>
          <w:numId w:val="1002"/>
        </w:numPr>
        <w:pStyle w:val="Compact"/>
      </w:pPr>
      <w:r>
        <w:rPr>
          <w:bCs/>
          <w:b/>
        </w:rPr>
        <w:t xml:space="preserve">5.3</w:t>
      </w:r>
      <w:r>
        <w:t xml:space="preserve"> </w:t>
      </w:r>
      <w:r>
        <w:t xml:space="preserve">The Auditor shall comply with all data protection requirements under the Personal Data Protection Act 2010 (PDPA) of Malaysia. All financial records, documents, and confidential information accessed during the audit engagement in Malaysia Kuala Lumpur shall be treated as strictly confidential and shall not be disclosed to any third party without written consent from the Buyer.</w:t>
      </w:r>
    </w:p>
    <w:p>
      <w:pPr>
        <w:numPr>
          <w:ilvl w:val="0"/>
          <w:numId w:val="1002"/>
        </w:numPr>
        <w:pStyle w:val="Compact"/>
      </w:pPr>
      <w:r>
        <w:rPr>
          <w:bCs/>
          <w:b/>
        </w:rPr>
        <w:t xml:space="preserve">5.4</w:t>
      </w:r>
      <w:r>
        <w:t xml:space="preserve"> </w:t>
      </w:r>
      <w:r>
        <w:t xml:space="preserve">The Auditor shall provide a written progress report to the Buyer's Audit Committee every six (6) weeks during the engagement period. A final comprehensive audit report shall be delivered within thirty (30) days of the year-end, i.e., by 31 March 2026.</w:t>
      </w:r>
    </w:p>
    <w:p>
      <w:pPr>
        <w:numPr>
          <w:ilvl w:val="0"/>
          <w:numId w:val="1002"/>
        </w:numPr>
        <w:pStyle w:val="Compact"/>
      </w:pPr>
      <w:r>
        <w:rPr>
          <w:bCs/>
          <w:b/>
        </w:rPr>
        <w:t xml:space="preserve">5.5</w:t>
      </w:r>
      <w:r>
        <w:t xml:space="preserve"> </w:t>
      </w:r>
      <w:r>
        <w:t xml:space="preserve">The Buyer reserves the right to terminate this Purchase Order with thirty (30) days' written notice in the event of material breach by the Auditor, including but not limited to failure to meet statutory deadlines, loss of professional registration, or gross negligence.</w:t>
      </w:r>
    </w:p>
    <w:p>
      <w:pPr>
        <w:numPr>
          <w:ilvl w:val="0"/>
          <w:numId w:val="1002"/>
        </w:numPr>
        <w:pStyle w:val="Compact"/>
      </w:pPr>
      <w:r>
        <w:rPr>
          <w:bCs/>
          <w:b/>
        </w:rPr>
        <w:t xml:space="preserve">5.6</w:t>
      </w:r>
      <w:r>
        <w:t xml:space="preserve"> </w:t>
      </w:r>
      <w:r>
        <w:t xml:space="preserve">Any disputes arising from this Purchase Order shall be resolved through mediation in Malaysia Kuala Lumpur in accordance with the Mediation Centre for Singapore (MCS) rules, or failing that, through the courts of competent jurisdiction in Malaysia.</w:t>
      </w:r>
    </w:p>
    <w:p>
      <w:pPr>
        <w:numPr>
          <w:ilvl w:val="0"/>
          <w:numId w:val="1002"/>
        </w:numPr>
        <w:pStyle w:val="Compact"/>
      </w:pPr>
      <w:r>
        <w:rPr>
          <w:bCs/>
          <w:b/>
        </w:rPr>
        <w:t xml:space="preserve">5.7</w:t>
      </w:r>
      <w:r>
        <w:t xml:space="preserve"> </w:t>
      </w:r>
      <w:r>
        <w:t xml:space="preserve">This Purchase Order is governed by and shall be construed in accordance with the laws of Malaysia. The venue for any legal proceedings shall be Malaysia Kuala Lumpur.</w:t>
      </w:r>
    </w:p>
    <w:p>
      <w:pPr>
        <w:numPr>
          <w:ilvl w:val="0"/>
          <w:numId w:val="1002"/>
        </w:numPr>
        <w:pStyle w:val="Compact"/>
      </w:pPr>
      <w:r>
        <w:rPr>
          <w:bCs/>
          <w:b/>
        </w:rPr>
        <w:t xml:space="preserve">5.8</w:t>
      </w:r>
      <w:r>
        <w:t xml:space="preserve"> </w:t>
      </w:r>
      <w:r>
        <w:t xml:space="preserve">The Auditor shall carry professional indemnity insurance with a minimum coverage of MYR 5,000,000.00 for the duration of this engagement. A certificate of insurance shall be provided to the Buyer upon request.</w:t>
      </w:r>
    </w:p>
    <w:p>
      <w:pPr>
        <w:numPr>
          <w:ilvl w:val="0"/>
          <w:numId w:val="1002"/>
        </w:numPr>
        <w:pStyle w:val="Compact"/>
      </w:pPr>
      <w:r>
        <w:rPr>
          <w:bCs/>
          <w:b/>
        </w:rPr>
        <w:t xml:space="preserve">5.9</w:t>
      </w:r>
      <w:r>
        <w:t xml:space="preserve"> </w:t>
      </w:r>
      <w:r>
        <w:t xml:space="preserve">The Auditor shall not subcontract any portion of the audit work without prior written approval from the Buyer. Any approved subcontractor shall be bound by the same confidentiality and professional standards as the primary Auditor.</w:t>
      </w:r>
    </w:p>
    <w:p>
      <w:pPr>
        <w:numPr>
          <w:ilvl w:val="0"/>
          <w:numId w:val="1002"/>
        </w:numPr>
        <w:pStyle w:val="Compact"/>
      </w:pPr>
      <w:r>
        <w:rPr>
          <w:bCs/>
          <w:b/>
        </w:rPr>
        <w:t xml:space="preserve">5.10</w:t>
      </w:r>
      <w:r>
        <w:t xml:space="preserve"> </w:t>
      </w:r>
      <w:r>
        <w:t xml:space="preserve">This Purchase Order may be amended only by mutual written agreement signed by both parties. No verbal modifications shall be valid or enforceable.</w:t>
      </w:r>
    </w:p>
    <w:p>
      <w:pPr>
        <w:pStyle w:val="FirstParagraph"/>
      </w:pPr>
      <w:r>
        <w:t xml:space="preserve">6. AUTHORIZED SIGNATORIES</w:t>
      </w:r>
    </w:p>
    <w:p>
      <w:pPr>
        <w:pStyle w:val="BodyText"/>
      </w:pPr>
      <w:r>
        <w:rPr>
          <w:bCs/>
          <w:b/>
        </w:rPr>
        <w:t xml:space="preserve">For and on behalf of the Buyer:</w:t>
      </w:r>
    </w:p>
    <w:p>
      <w:pPr>
        <w:pStyle w:val="BodyText"/>
      </w:pPr>
      <w:r>
        <w:t xml:space="preserve">Meridian Holdings Berhad</w:t>
      </w:r>
    </w:p>
    <w:p>
      <w:pPr>
        <w:pStyle w:val="BodyText"/>
      </w:pPr>
      <w:r>
        <w:t xml:space="preserve">Mr. Tan Wei Keat</w:t>
      </w:r>
    </w:p>
    <w:p>
      <w:pPr>
        <w:pStyle w:val="BodyText"/>
      </w:pPr>
      <w:r>
        <w:t xml:space="preserve">Chief Financial Officer</w:t>
      </w:r>
    </w:p>
    <w:p>
      <w:pPr>
        <w:pStyle w:val="BodyText"/>
      </w:pPr>
      <w:r>
        <w:t xml:space="preserve">Date: _______________</w:t>
      </w:r>
    </w:p>
    <w:p>
      <w:pPr>
        <w:pStyle w:val="BodyText"/>
      </w:pPr>
      <w:r>
        <w:rPr>
          <w:bCs/>
          <w:b/>
        </w:rPr>
        <w:t xml:space="preserve">For and on behalf of the Auditor:</w:t>
      </w:r>
    </w:p>
    <w:p>
      <w:pPr>
        <w:pStyle w:val="BodyText"/>
      </w:pPr>
      <w:r>
        <w:t xml:space="preserve">Chong &amp; Partners Audit Sdn. Bhd.</w:t>
      </w:r>
    </w:p>
    <w:p>
      <w:pPr>
        <w:pStyle w:val="BodyText"/>
      </w:pPr>
      <w:r>
        <w:t xml:space="preserve">Ms. Lim Siew Lan</w:t>
      </w:r>
    </w:p>
    <w:p>
      <w:pPr>
        <w:pStyle w:val="BodyText"/>
      </w:pPr>
      <w:r>
        <w:t xml:space="preserve">Managing Partner &amp; Lead Auditor</w:t>
      </w:r>
    </w:p>
    <w:p>
      <w:pPr>
        <w:pStyle w:val="BodyText"/>
      </w:pPr>
      <w:r>
        <w:t xml:space="preserve">Date: _______________</w:t>
      </w:r>
    </w:p>
    <w:p>
      <w:pPr>
        <w:pStyle w:val="BodyText"/>
      </w:pPr>
      <w:r>
        <w:t xml:space="preserve">This Purchase Order (Ref: PO/KL/AUD/2025/0047) was prepared and issued in Malaysia Kuala Lumpur. It is valid for a period of ninety (90) days from the date of issue. Unauthorized reproduction or distribution of this document is strictly prohibited. All communications regarding this Purchase Order shall be directed to the respective parties as stated above.</w:t>
      </w:r>
    </w:p>
    <w:p>
      <w:pPr>
        <w:pStyle w:val="BodyText"/>
      </w:pPr>
      <w:r>
        <w:t xml:space="preserve">Document Version: 1.0 | Prepared by: Procurement Department, Meridian Holdings Berhad,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Malaysia Kuala Lumpur</dc:title>
  <dc:creator/>
  <dc:language>en</dc:language>
  <cp:keywords/>
  <dcterms:created xsi:type="dcterms:W3CDTF">2026-10-10T05:49:42Z</dcterms:created>
  <dcterms:modified xsi:type="dcterms:W3CDTF">2026-10-10T05:49:42Z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