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Official Procurement Document – Auditor Engagement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PO-2025-AMST-04782</w:t>
            </w:r>
          </w:p>
        </w:tc>
        <w:tc>
          <w:tcPr/>
          <w:p>
            <w:pPr>
              <w:pStyle w:val="Compact"/>
              <w:jc w:val="righ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w:t>
            </w:r>
          </w:p>
        </w:tc>
        <w:tc>
          <w:tcPr/>
          <w:p>
            <w:pPr>
              <w:pStyle w:val="Compact"/>
              <w:jc w:val="right"/>
            </w:pPr>
            <w:r>
              <w:rPr>
                <w:bCs/>
                <w:b/>
              </w:rPr>
              <w:t xml:space="preserve">Country of Execution:</w:t>
            </w:r>
            <w:r>
              <w:t xml:space="preserve"> </w:t>
            </w:r>
            <w:r>
              <w:t xml:space="preserve">Netherlands Amsterdam</w:t>
            </w:r>
          </w:p>
        </w:tc>
      </w:tr>
    </w:tbl>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(Purchasing Entity):</w:t>
            </w:r>
          </w:p>
          <w:p>
            <w:pPr>
              <w:jc w:val="left"/>
            </w:pPr>
            <w:r>
              <w:t xml:space="preserve">Van der Berg &amp; Partners B.V.</w:t>
            </w:r>
            <w:r>
              <w:br/>
            </w:r>
            <w:r>
              <w:t xml:space="preserve">Keizersgracht 214</w:t>
            </w:r>
            <w:r>
              <w:br/>
            </w:r>
            <w:r>
              <w:t xml:space="preserve">1016 DZ Amsterdam</w:t>
            </w:r>
            <w:r>
              <w:br/>
            </w:r>
            <w:r>
              <w:t xml:space="preserve">Netherlands</w:t>
            </w:r>
            <w:r>
              <w:br/>
            </w:r>
            <w:r>
              <w:t xml:space="preserve">KvK: 34567890</w:t>
            </w:r>
            <w:r>
              <w:br/>
            </w:r>
            <w:r>
              <w:t xml:space="preserve">BTW: NL861234567B01</w:t>
            </w:r>
            <w:r>
              <w:br/>
            </w:r>
            <w:r>
              <w:t xml:space="preserve">Contact: procurement@vdbpartners.nl</w:t>
            </w:r>
            <w:r>
              <w:br/>
            </w:r>
            <w:r>
              <w:t xml:space="preserve">Tel: +31 20 555 0142</w:t>
            </w:r>
          </w:p>
        </w:tc>
        <w:tc>
          <w:tcPr/>
          <w:p>
            <w:pPr>
              <w:jc w:val="left"/>
            </w:pPr>
            <w:r>
              <w:rPr>
                <w:bCs/>
                <w:b/>
              </w:rPr>
              <w:t xml:space="preserve">Supplier (Service Provider):</w:t>
            </w:r>
          </w:p>
          <w:p>
            <w:pPr>
              <w:jc w:val="left"/>
            </w:pPr>
            <w:r>
              <w:t xml:space="preserve">Amsterdam Audit &amp; Assurance Group N.V.</w:t>
            </w:r>
            <w:r>
              <w:br/>
            </w:r>
            <w:r>
              <w:t xml:space="preserve">Herengracht 450</w:t>
            </w:r>
            <w:r>
              <w:br/>
            </w:r>
            <w:r>
              <w:t xml:space="preserve">1017 CA Amsterdam</w:t>
            </w:r>
            <w:r>
              <w:br/>
            </w:r>
            <w:r>
              <w:t xml:space="preserve">Netherlands</w:t>
            </w:r>
            <w:r>
              <w:br/>
            </w:r>
            <w:r>
              <w:t xml:space="preserve">KvK: 29876543</w:t>
            </w:r>
            <w:r>
              <w:br/>
            </w:r>
            <w:r>
              <w:t xml:space="preserve">BTW: NL859876543B01</w:t>
            </w:r>
            <w:r>
              <w:br/>
            </w:r>
            <w:r>
              <w:t xml:space="preserve">Contact: engagements@aaagroup.nl</w:t>
            </w:r>
            <w:r>
              <w:br/>
            </w:r>
            <w:r>
              <w:t xml:space="preserve">Tel: +31 20 555 0387</w:t>
            </w:r>
          </w:p>
        </w:tc>
      </w:tr>
    </w:tbl>
    <w:bookmarkEnd w:id="21"/>
    <w:bookmarkStart w:id="22" w:name="scope-of-engagement-auditor-services"/>
    <w:p>
      <w:pPr>
        <w:pStyle w:val="Heading2"/>
      </w:pPr>
      <w:r>
        <w:t xml:space="preserve">2. SCOPE OF ENGAGEMENT – AUDITOR SERVICES</w:t>
      </w:r>
    </w:p>
    <w:p>
      <w:pPr>
        <w:pStyle w:val="FirstParagraph"/>
      </w:pPr>
      <w:r>
        <w:t xml:space="preserve">This Purchase Order is issued by Van der Berg &amp; Partners B.V. to formally engage the services of Amsterdam Audit &amp; Assurance Group N.V. as the appointed</w:t>
      </w:r>
      <w:r>
        <w:t xml:space="preserve"> </w:t>
      </w:r>
      <w:r>
        <w:rPr>
          <w:bCs/>
          <w:b/>
        </w:rPr>
        <w:t xml:space="preserve">Auditor</w:t>
      </w:r>
      <w:r>
        <w:t xml:space="preserve"> </w:t>
      </w:r>
      <w:r>
        <w:t xml:space="preserve">for the fiscal year 2024–2025. The Auditor shall perform a full statutory audit in accordance with the Dutch Civil Code (Burgerlijk Wetboek), Book 2, Title 9, and the International Standards on Auditing (ISA) as adopted by the European Union. The engagement is to be conducted within the jurisdiction of</w:t>
      </w:r>
      <w:r>
        <w:t xml:space="preserve"> </w:t>
      </w:r>
      <w:r>
        <w:rPr>
          <w:bCs/>
          <w:b/>
        </w:rPr>
        <w:t xml:space="preserve">Netherlands Amsterdam</w:t>
      </w:r>
      <w:r>
        <w:t xml:space="preserve">, and all fieldwork, documentation, and reporting shall comply with the regulatory framework established by the Dutch Authority for the Financial Markets (AFM) and the Dutch Audit Supervision Institute (NAF).</w:t>
      </w:r>
    </w:p>
    <w:p>
      <w:pPr>
        <w:pStyle w:val="BodyText"/>
      </w:pPr>
      <w:r>
        <w:t xml:space="preserve">The Auditor is required to examine the financial statements, internal controls, and compliance records of the Buyer and issue an independent audit opinion. The Auditor shall maintain strict professional independence and objectivity throughout the duration of this Purchase Order engagement. All audit procedures, including but not limited to substantive testing, analytical review, and confirmation of balances, shall be performed by qualified Auditor personnel registered with the NAF and holding valid professional certifications recognized in the Netherlands.</w:t>
      </w:r>
    </w:p>
    <w:bookmarkEnd w:id="22"/>
    <w:bookmarkStart w:id="23" w:name="line-items-and-pricing"/>
    <w:p>
      <w:pPr>
        <w:pStyle w:val="Heading2"/>
      </w:pPr>
      <w:r>
        <w:t xml:space="preserve">3. 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1</w:t>
            </w:r>
          </w:p>
        </w:tc>
        <w:tc>
          <w:tcPr/>
          <w:p>
            <w:pPr>
              <w:pStyle w:val="Compact"/>
              <w:jc w:val="left"/>
            </w:pPr>
            <w:r>
              <w:t xml:space="preserve">Statutory Financial Audit – Full Year 2024 (Auditor fieldwork, testing, and reporting in Netherlands Amsterdam)</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2</w:t>
            </w:r>
          </w:p>
        </w:tc>
        <w:tc>
          <w:tcPr/>
          <w:p>
            <w:pPr>
              <w:pStyle w:val="Compact"/>
              <w:jc w:val="left"/>
            </w:pPr>
            <w:r>
              <w:t xml:space="preserve">Internal Controls Assessment and SOX-equivalent Compliance Review (Auditor advisory component)</w:t>
            </w:r>
          </w:p>
        </w:tc>
        <w:tc>
          <w:tcPr/>
          <w:p>
            <w:pPr>
              <w:pStyle w:val="Compact"/>
              <w:jc w:val="center"/>
            </w:pPr>
            <w:r>
              <w:t xml:space="preserve">1</w:t>
            </w:r>
          </w:p>
        </w:tc>
        <w:tc>
          <w:tcPr/>
          <w:p>
            <w:pPr>
              <w:pStyle w:val="Compact"/>
              <w:jc w:val="right"/>
            </w:pPr>
            <w:r>
              <w:t xml:space="preserve">12,750.00</w:t>
            </w:r>
          </w:p>
        </w:tc>
        <w:tc>
          <w:tcPr/>
          <w:p>
            <w:pPr>
              <w:pStyle w:val="Compact"/>
              <w:jc w:val="right"/>
            </w:pPr>
            <w:r>
              <w:t xml:space="preserve">12,750.00</w:t>
            </w:r>
          </w:p>
        </w:tc>
      </w:tr>
      <w:tr>
        <w:tc>
          <w:tcPr/>
          <w:p>
            <w:pPr>
              <w:pStyle w:val="Compact"/>
              <w:jc w:val="left"/>
            </w:pPr>
            <w:r>
              <w:t xml:space="preserve">3</w:t>
            </w:r>
          </w:p>
        </w:tc>
        <w:tc>
          <w:tcPr/>
          <w:p>
            <w:pPr>
              <w:pStyle w:val="Compact"/>
              <w:jc w:val="left"/>
            </w:pPr>
            <w:r>
              <w:t xml:space="preserve">Interim Review – Q1 and Q2 2025 (Auditor interim procedures, Netherlands Amsterdam office)</w:t>
            </w:r>
          </w:p>
        </w:tc>
        <w:tc>
          <w:tcPr/>
          <w:p>
            <w:pPr>
              <w:pStyle w:val="Compact"/>
              <w:jc w:val="center"/>
            </w:pPr>
            <w:r>
              <w:t xml:space="preserve">2</w:t>
            </w:r>
          </w:p>
        </w:tc>
        <w:tc>
          <w:tcPr/>
          <w:p>
            <w:pPr>
              <w:pStyle w:val="Compact"/>
              <w:jc w:val="right"/>
            </w:pPr>
            <w:r>
              <w:t xml:space="preserve">6,200.00</w:t>
            </w:r>
          </w:p>
        </w:tc>
        <w:tc>
          <w:tcPr/>
          <w:p>
            <w:pPr>
              <w:pStyle w:val="Compact"/>
              <w:jc w:val="right"/>
            </w:pPr>
            <w:r>
              <w:t xml:space="preserve">12,400.00</w:t>
            </w:r>
          </w:p>
        </w:tc>
      </w:tr>
      <w:tr>
        <w:tc>
          <w:tcPr/>
          <w:p>
            <w:pPr>
              <w:pStyle w:val="Compact"/>
              <w:jc w:val="left"/>
            </w:pPr>
            <w:r>
              <w:t xml:space="preserve">4</w:t>
            </w:r>
          </w:p>
        </w:tc>
        <w:tc>
          <w:tcPr/>
          <w:p>
            <w:pPr>
              <w:pStyle w:val="Compact"/>
              <w:jc w:val="left"/>
            </w:pPr>
            <w:r>
              <w:t xml:space="preserve">Audit Committee Reporting and Presentation (Auditor briefing sessions, 4 meetings in Amsterdam)</w:t>
            </w:r>
          </w:p>
        </w:tc>
        <w:tc>
          <w:tcPr/>
          <w:p>
            <w:pPr>
              <w:pStyle w:val="Compact"/>
              <w:jc w:val="center"/>
            </w:pPr>
            <w:r>
              <w:t xml:space="preserve">4</w:t>
            </w:r>
          </w:p>
        </w:tc>
        <w:tc>
          <w:tcPr/>
          <w:p>
            <w:pPr>
              <w:pStyle w:val="Compact"/>
              <w:jc w:val="right"/>
            </w:pPr>
            <w:r>
              <w:t xml:space="preserve">1,850.00</w:t>
            </w:r>
          </w:p>
        </w:tc>
        <w:tc>
          <w:tcPr/>
          <w:p>
            <w:pPr>
              <w:pStyle w:val="Compact"/>
              <w:jc w:val="right"/>
            </w:pPr>
            <w:r>
              <w:t xml:space="preserve">7,400.00</w:t>
            </w:r>
          </w:p>
        </w:tc>
      </w:tr>
      <w:tr>
        <w:tc>
          <w:tcPr/>
          <w:p>
            <w:pPr>
              <w:pStyle w:val="Compact"/>
              <w:jc w:val="left"/>
            </w:pPr>
            <w:r>
              <w:t xml:space="preserve">5</w:t>
            </w:r>
          </w:p>
        </w:tc>
        <w:tc>
          <w:tcPr/>
          <w:p>
            <w:pPr>
              <w:pStyle w:val="Compact"/>
              <w:jc w:val="left"/>
            </w:pPr>
            <w:r>
              <w:t xml:space="preserve">Regulatory Filing Support – AFM and NAF submissions (Auditor compliance documentation)</w:t>
            </w:r>
          </w:p>
        </w:tc>
        <w:tc>
          <w:tcPr/>
          <w:p>
            <w:pPr>
              <w:pStyle w:val="Compact"/>
              <w:jc w:val="center"/>
            </w:pPr>
            <w:r>
              <w:t xml:space="preserve">1</w:t>
            </w:r>
          </w:p>
        </w:tc>
        <w:tc>
          <w:tcPr/>
          <w:p>
            <w:pPr>
              <w:pStyle w:val="Compact"/>
              <w:jc w:val="right"/>
            </w:pPr>
            <w:r>
              <w:t xml:space="preserve">3,900.00</w:t>
            </w:r>
          </w:p>
        </w:tc>
        <w:tc>
          <w:tcPr/>
          <w:p>
            <w:pPr>
              <w:pStyle w:val="Compact"/>
              <w:jc w:val="right"/>
            </w:pPr>
            <w:r>
              <w:t xml:space="preserve">3,900.00</w:t>
            </w:r>
          </w:p>
        </w:tc>
      </w:tr>
      <w:tr>
        <w:tc>
          <w:tcPr>
            <w:gridSpan w:val="4"/>
          </w:tcPr>
          <w:p>
            <w:pPr>
              <w:pStyle w:val="Compact"/>
              <w:jc w:val="right"/>
            </w:pPr>
            <w:r>
              <w:rPr>
                <w:bCs/>
                <w:b/>
              </w:rPr>
              <w:t xml:space="preserve">Subtotal:</w:t>
            </w:r>
          </w:p>
        </w:tc>
        <w:tc>
          <w:tcPr/>
          <w:p>
            <w:pPr>
              <w:pStyle w:val="Compact"/>
              <w:jc w:val="right"/>
            </w:pPr>
            <w:r>
              <w:rPr>
                <w:bCs/>
                <w:b/>
              </w:rPr>
              <w:t xml:space="preserve">84,950.00</w:t>
            </w:r>
          </w:p>
        </w:tc>
      </w:tr>
      <w:tr>
        <w:tc>
          <w:tcPr>
            <w:gridSpan w:val="4"/>
          </w:tcPr>
          <w:p>
            <w:pPr>
              <w:pStyle w:val="Compact"/>
              <w:jc w:val="right"/>
            </w:pPr>
            <w:r>
              <w:rPr>
                <w:bCs/>
                <w:b/>
              </w:rPr>
              <w:t xml:space="preserve">VAT (21% – Netherlands):</w:t>
            </w:r>
          </w:p>
        </w:tc>
        <w:tc>
          <w:tcPr/>
          <w:p>
            <w:pPr>
              <w:pStyle w:val="Compact"/>
              <w:jc w:val="right"/>
            </w:pPr>
            <w:r>
              <w:rPr>
                <w:bCs/>
                <w:b/>
              </w:rPr>
              <w:t xml:space="preserve">17,839.50</w:t>
            </w:r>
          </w:p>
        </w:tc>
      </w:tr>
      <w:tr>
        <w:tc>
          <w:tcPr>
            <w:gridSpan w:val="4"/>
          </w:tcPr>
          <w:p>
            <w:pPr>
              <w:pStyle w:val="Compact"/>
              <w:jc w:val="right"/>
            </w:pPr>
            <w:r>
              <w:rPr>
                <w:bCs/>
                <w:b/>
              </w:rPr>
              <w:t xml:space="preserve">TOTAL PURCHASE ORDER VALUE:</w:t>
            </w:r>
          </w:p>
        </w:tc>
        <w:tc>
          <w:tcPr/>
          <w:p>
            <w:pPr>
              <w:pStyle w:val="Compact"/>
              <w:jc w:val="right"/>
            </w:pPr>
            <w:r>
              <w:rPr>
                <w:bCs/>
                <w:b/>
              </w:rPr>
              <w:t xml:space="preserve">102,789.50 EUR</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Netherlands. Any disputes arising from this Purchase Order shall be subject to the exclusive jurisdiction of the District Court of Amsterdam, Netherlands Amsterdam.</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Auditor. Invoices must reference this Purchase Order number (PO-2025-AMST-04782). Payment shall be made via bank transfer to the account designated by Amsterdam Audit &amp; Assurance Group N.V.</w:t>
      </w:r>
    </w:p>
    <w:p>
      <w:pPr>
        <w:numPr>
          <w:ilvl w:val="0"/>
          <w:numId w:val="1001"/>
        </w:numPr>
        <w:pStyle w:val="Compact"/>
      </w:pPr>
      <w:r>
        <w:rPr>
          <w:bCs/>
          <w:b/>
        </w:rPr>
        <w:t xml:space="preserve">Engagement Period:</w:t>
      </w:r>
      <w:r>
        <w:t xml:space="preserve"> </w:t>
      </w:r>
      <w:r>
        <w:t xml:space="preserve">The Auditor engagement under this Purchase Order shall commence on 1 July 2025 and conclude no later than 31 March 2026, covering the full audit cycle for fiscal year 2024–2025.</w:t>
      </w:r>
    </w:p>
    <w:p>
      <w:pPr>
        <w:numPr>
          <w:ilvl w:val="0"/>
          <w:numId w:val="1001"/>
        </w:numPr>
        <w:pStyle w:val="Compact"/>
      </w:pPr>
      <w:r>
        <w:rPr>
          <w:bCs/>
          <w:b/>
        </w:rPr>
        <w:t xml:space="preserve">Independence and Ethics:</w:t>
      </w:r>
      <w:r>
        <w:t xml:space="preserve"> </w:t>
      </w:r>
      <w:r>
        <w:t xml:space="preserve">The Auditor shall comply with the NAF Code of Ethics and shall not provide any non-audit services that would impair independence. The Auditor shall disclose any potential conflicts of interest in writing prior to commencing work under this Purchase Order.</w:t>
      </w:r>
    </w:p>
    <w:p>
      <w:pPr>
        <w:numPr>
          <w:ilvl w:val="0"/>
          <w:numId w:val="1001"/>
        </w:numPr>
        <w:pStyle w:val="Compact"/>
      </w:pPr>
      <w:r>
        <w:rPr>
          <w:bCs/>
          <w:b/>
        </w:rPr>
        <w:t xml:space="preserve">Confidentiality:</w:t>
      </w:r>
      <w:r>
        <w:t xml:space="preserve"> </w:t>
      </w:r>
      <w:r>
        <w:t xml:space="preserve">All financial data, trade secrets, and proprietary information shared with the Auditor in connection with this Purchase Order shall be treated as strictly confidential. The Auditor shall implement appropriate data protection measures in compliance with the EU General Data Protection Regulation (GDPR) and Dutch national data protection legislation.</w:t>
      </w:r>
    </w:p>
    <w:p>
      <w:pPr>
        <w:numPr>
          <w:ilvl w:val="0"/>
          <w:numId w:val="1001"/>
        </w:numPr>
        <w:pStyle w:val="Compact"/>
      </w:pPr>
      <w:r>
        <w:rPr>
          <w:bCs/>
          <w:b/>
        </w:rPr>
        <w:t xml:space="preserve">Deliverables:</w:t>
      </w:r>
      <w:r>
        <w:t xml:space="preserve"> </w:t>
      </w:r>
      <w:r>
        <w:t xml:space="preserve">The Auditor shall deliver the final audit report, management letter, and all supporting documentation to the Buyer's registered office in Amsterdam within forty-five (45) days of the fiscal year-end. Interim reports shall be delivered within fifteen (15) days of each interim review period.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up to the date of termination. The Auditor shall return all confidential materials within ten (10)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pandemics affecting operations in Netherlands Amsterdam.</w:t>
      </w:r>
    </w:p>
    <w:bookmarkEnd w:id="24"/>
    <w:bookmarkStart w:id="25" w:name="authorization-and-acceptance"/>
    <w:p>
      <w:pPr>
        <w:pStyle w:val="Heading2"/>
      </w:pPr>
      <w:r>
        <w:t xml:space="preserve">5. AUTHORIZATION AND ACCEPTANCE</w:t>
      </w:r>
    </w:p>
    <w:p>
      <w:pPr>
        <w:pStyle w:val="FirstParagraph"/>
      </w:pPr>
      <w:r>
        <w:t xml:space="preserve">This Purchase Order is issued and authorized by the undersigned on behalf of the Buyer. Acceptance of this Purchase Order by the Auditor constitutes full agreement to all terms, conditions, and scope of work described herein. By signing below, the Auditor confirms that it has the requisite NAF registration, professional indemnity insurance, and staffing capacity to fulfill the obligations set forth in this Purchase Order within the Netherlands Amsterdam jurisdiction.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Van der Berg &amp; Partners B.V.</w:t>
            </w:r>
          </w:p>
          <w:p>
            <w:pPr>
              <w:jc w:val="left"/>
            </w:pPr>
            <w:r>
              <w:t xml:space="preserve">_______________________________</w:t>
            </w:r>
          </w:p>
          <w:p>
            <w:pPr>
              <w:jc w:val="left"/>
            </w:pPr>
            <w:r>
              <w:t xml:space="preserve">Name: Dr. Hendrik van der Berg</w:t>
            </w:r>
          </w:p>
          <w:p>
            <w:pPr>
              <w:jc w:val="left"/>
            </w:pPr>
            <w:r>
              <w:t xml:space="preserve">Title: Chief Financial Officer</w:t>
            </w:r>
          </w:p>
          <w:p>
            <w:pPr>
              <w:jc w:val="left"/>
            </w:pPr>
            <w:r>
              <w:t xml:space="preserve">Date: _______________</w:t>
            </w:r>
          </w:p>
        </w:tc>
        <w:tc>
          <w:tcPr/>
          <w:p>
            <w:pPr>
              <w:jc w:val="left"/>
            </w:pPr>
            <w:r>
              <w:rPr>
                <w:bCs/>
                <w:b/>
              </w:rPr>
              <w:t xml:space="preserve">For and on behalf of the Auditor:</w:t>
            </w:r>
          </w:p>
          <w:p>
            <w:pPr>
              <w:jc w:val="left"/>
            </w:pPr>
            <w:r>
              <w:t xml:space="preserve">Amsterdam Audit &amp; Assurance Group N.V.</w:t>
            </w:r>
          </w:p>
          <w:p>
            <w:pPr>
              <w:jc w:val="left"/>
            </w:pPr>
            <w:r>
              <w:t xml:space="preserve">_______________________________</w:t>
            </w:r>
          </w:p>
          <w:p>
            <w:pPr>
              <w:jc w:val="left"/>
            </w:pPr>
            <w:r>
              <w:t xml:space="preserve">Name: Ms. Annelies de Vries, RA</w:t>
            </w:r>
          </w:p>
          <w:p>
            <w:pPr>
              <w:jc w:val="left"/>
            </w:pPr>
            <w:r>
              <w:t xml:space="preserve">Title: Engagement Partner</w:t>
            </w:r>
          </w:p>
          <w:p>
            <w:pPr>
              <w:jc w:val="left"/>
            </w:pPr>
            <w:r>
              <w:t xml:space="preserve">Date: _______________</w:t>
            </w:r>
          </w:p>
        </w:tc>
      </w:tr>
    </w:tbl>
    <w:bookmarkEnd w:id="25"/>
    <w:p>
      <w:pPr>
        <w:pStyle w:val="BodyText"/>
      </w:pPr>
      <w:r>
        <w:t xml:space="preserve">This Purchase Order document is generated for use in the Netherlands Amsterdam and is subject to Dutch commercial law. Reference: PO-2025-AMST-04782. This document constitutes a binding procurement instrument upon countersignature by both parties. All communications regarding this Purchase Order shall be directed to the procurement department of the Buyer at the address listed in Section 1. The Auditor acknowledges that this Purchase Order supersedes any prior verbal or written agreements regarding the audit engagement for the referenced fiscal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Netherlands Amsterdam</dc:title>
  <dc:creator/>
  <dc:language>en</dc:language>
  <cp:keywords/>
  <dcterms:created xsi:type="dcterms:W3CDTF">2026-10-10T08:31:26Z</dcterms:created>
  <dcterms:modified xsi:type="dcterms:W3CDTF">2026-10-10T08:31:26Z</dcterms:modified>
</cp:coreProperties>
</file>

<file path=docProps/custom.xml><?xml version="1.0" encoding="utf-8"?>
<Properties xmlns="http://schemas.openxmlformats.org/officeDocument/2006/custom-properties" xmlns:vt="http://schemas.openxmlformats.org/officeDocument/2006/docPropsVTypes"/>
</file>