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Auditor Services Engagement</w:t>
      </w:r>
    </w:p>
    <w:p>
      <w:pPr>
        <w:pStyle w:val="BodyText"/>
      </w:pPr>
      <w:r>
        <w:t xml:space="preserve">Republic of the Philippines — Metro Manila, Philippines Manila</w:t>
      </w:r>
    </w:p>
    <w:bookmarkEnd w:id="20"/>
    <w:p>
      <w:pPr>
        <w:pStyle w:val="BodyText"/>
      </w:pPr>
      <w:r>
        <w:t xml:space="preserve">PO No.: PM-2025-04782</w:t>
      </w:r>
      <w:r>
        <w:br/>
      </w:r>
      <w:r>
        <w:t xml:space="preserve">Date of Issue: June 15, 2025</w:t>
      </w:r>
      <w:r>
        <w:br/>
      </w:r>
      <w:r>
        <w:t xml:space="preserve">Valid Until: July 15, 2025</w:t>
      </w:r>
    </w:p>
    <w:bookmarkStart w:id="21" w:name="buyer-issuing-party"/>
    <w:p>
      <w:pPr>
        <w:pStyle w:val="Heading3"/>
      </w:pPr>
      <w:r>
        <w:t xml:space="preserve">BUYER (Issuing Party)</w:t>
      </w:r>
    </w:p>
    <w:p>
      <w:pPr>
        <w:pStyle w:val="FirstParagraph"/>
      </w:pPr>
      <w:r>
        <w:rPr>
          <w:bCs/>
          <w:b/>
        </w:rPr>
        <w:t xml:space="preserve">Company Name:</w:t>
      </w:r>
      <w:r>
        <w:t xml:space="preserve"> </w:t>
      </w:r>
      <w:r>
        <w:t xml:space="preserve">Manila Pacific Holdings Corporation</w:t>
      </w:r>
    </w:p>
    <w:p>
      <w:pPr>
        <w:pStyle w:val="BodyText"/>
      </w:pPr>
      <w:r>
        <w:rPr>
          <w:bCs/>
          <w:b/>
        </w:rPr>
        <w:t xml:space="preserve">Address:</w:t>
      </w:r>
      <w:r>
        <w:t xml:space="preserve"> </w:t>
      </w:r>
      <w:r>
        <w:t xml:space="preserve">12th Floor, Ayala Center, Makati City, Philippines Manila, 1226</w:t>
      </w:r>
    </w:p>
    <w:p>
      <w:pPr>
        <w:pStyle w:val="BodyText"/>
      </w:pPr>
      <w:r>
        <w:rPr>
          <w:bCs/>
          <w:b/>
        </w:rPr>
        <w:t xml:space="preserve">TIN:</w:t>
      </w:r>
      <w:r>
        <w:t xml:space="preserve"> </w:t>
      </w:r>
      <w:r>
        <w:t xml:space="preserve">000-123-456-000</w:t>
      </w:r>
    </w:p>
    <w:p>
      <w:pPr>
        <w:pStyle w:val="BodyText"/>
      </w:pPr>
      <w:r>
        <w:rPr>
          <w:bCs/>
          <w:b/>
        </w:rPr>
        <w:t xml:space="preserve">SEC Registration:</w:t>
      </w:r>
      <w:r>
        <w:t xml:space="preserve"> </w:t>
      </w:r>
      <w:r>
        <w:t xml:space="preserve">CS2018-12345678</w:t>
      </w:r>
    </w:p>
    <w:p>
      <w:pPr>
        <w:pStyle w:val="BodyText"/>
      </w:pPr>
      <w:r>
        <w:rPr>
          <w:bCs/>
          <w:b/>
        </w:rPr>
        <w:t xml:space="preserve">Contact Person:</w:t>
      </w:r>
      <w:r>
        <w:t xml:space="preserve"> </w:t>
      </w:r>
      <w:r>
        <w:t xml:space="preserve">Engr. Ricardo S. Villanueva, CFO</w:t>
      </w:r>
    </w:p>
    <w:p>
      <w:pPr>
        <w:pStyle w:val="BodyText"/>
      </w:pPr>
      <w:r>
        <w:rPr>
          <w:bCs/>
          <w:b/>
        </w:rPr>
        <w:t xml:space="preserve">Email:</w:t>
      </w:r>
      <w:r>
        <w:t xml:space="preserve"> </w:t>
      </w:r>
      <w:r>
        <w:t xml:space="preserve">cfo@manilapacific.com.ph</w:t>
      </w:r>
    </w:p>
    <w:p>
      <w:pPr>
        <w:pStyle w:val="BodyText"/>
      </w:pPr>
      <w:r>
        <w:rPr>
          <w:bCs/>
          <w:b/>
        </w:rPr>
        <w:t xml:space="preserve">Telephone:</w:t>
      </w:r>
      <w:r>
        <w:t xml:space="preserve"> </w:t>
      </w:r>
      <w:r>
        <w:t xml:space="preserve">+63 (2) 8888-1234</w:t>
      </w:r>
    </w:p>
    <w:bookmarkEnd w:id="21"/>
    <w:bookmarkStart w:id="22" w:name="seller-service-provider"/>
    <w:p>
      <w:pPr>
        <w:pStyle w:val="Heading3"/>
      </w:pPr>
      <w:r>
        <w:t xml:space="preserve">SELLER / SERVICE PROVIDER</w:t>
      </w:r>
    </w:p>
    <w:p>
      <w:pPr>
        <w:pStyle w:val="FirstParagraph"/>
      </w:pPr>
      <w:r>
        <w:rPr>
          <w:bCs/>
          <w:b/>
        </w:rPr>
        <w:t xml:space="preserve">Firm Name:</w:t>
      </w:r>
      <w:r>
        <w:t xml:space="preserve"> </w:t>
      </w:r>
      <w:r>
        <w:t xml:space="preserve">Delgado, Santos &amp; Associates CPA</w:t>
      </w:r>
    </w:p>
    <w:p>
      <w:pPr>
        <w:pStyle w:val="BodyText"/>
      </w:pPr>
      <w:r>
        <w:rPr>
          <w:bCs/>
          <w:b/>
        </w:rPr>
        <w:t xml:space="preserve">Address:</w:t>
      </w:r>
      <w:r>
        <w:t xml:space="preserve"> </w:t>
      </w:r>
      <w:r>
        <w:t xml:space="preserve">88th Floor, One World Center, Ortigas Center, Philippines Manila, 1600</w:t>
      </w:r>
    </w:p>
    <w:p>
      <w:pPr>
        <w:pStyle w:val="BodyText"/>
      </w:pPr>
      <w:r>
        <w:rPr>
          <w:bCs/>
          <w:b/>
        </w:rPr>
        <w:t xml:space="preserve">TIN:</w:t>
      </w:r>
      <w:r>
        <w:t xml:space="preserve"> </w:t>
      </w:r>
      <w:r>
        <w:t xml:space="preserve">000-987-654-000</w:t>
      </w:r>
    </w:p>
    <w:p>
      <w:pPr>
        <w:pStyle w:val="BodyText"/>
      </w:pPr>
      <w:r>
        <w:rPr>
          <w:bCs/>
          <w:b/>
        </w:rPr>
        <w:t xml:space="preserve">PRC License No.:</w:t>
      </w:r>
      <w:r>
        <w:t xml:space="preserve"> </w:t>
      </w:r>
      <w:r>
        <w:t xml:space="preserve">1234567</w:t>
      </w:r>
    </w:p>
    <w:p>
      <w:pPr>
        <w:pStyle w:val="BodyText"/>
      </w:pPr>
      <w:r>
        <w:rPr>
          <w:bCs/>
          <w:b/>
        </w:rPr>
        <w:t xml:space="preserve">BOC Registration:</w:t>
      </w:r>
      <w:r>
        <w:t xml:space="preserve"> </w:t>
      </w:r>
      <w:r>
        <w:t xml:space="preserve">BOC-2020-004521</w:t>
      </w:r>
    </w:p>
    <w:p>
      <w:pPr>
        <w:pStyle w:val="BodyText"/>
      </w:pPr>
      <w:r>
        <w:rPr>
          <w:bCs/>
          <w:b/>
        </w:rPr>
        <w:t xml:space="preserve">Contact Person:</w:t>
      </w:r>
      <w:r>
        <w:t xml:space="preserve"> </w:t>
      </w:r>
      <w:r>
        <w:t xml:space="preserve">CPA Maria L. Delgado, Managing Partner</w:t>
      </w:r>
    </w:p>
    <w:p>
      <w:pPr>
        <w:pStyle w:val="BodyText"/>
      </w:pPr>
      <w:r>
        <w:rPr>
          <w:bCs/>
          <w:b/>
        </w:rPr>
        <w:t xml:space="preserve">Email:</w:t>
      </w:r>
      <w:r>
        <w:t xml:space="preserve"> </w:t>
      </w:r>
      <w:r>
        <w:t xml:space="preserve">mdelgado@dsacpa.com.ph</w:t>
      </w:r>
    </w:p>
    <w:p>
      <w:pPr>
        <w:pStyle w:val="BodyText"/>
      </w:pPr>
      <w:r>
        <w:rPr>
          <w:bCs/>
          <w:b/>
        </w:rPr>
        <w:t xml:space="preserve">Telephone:</w:t>
      </w:r>
      <w:r>
        <w:t xml:space="preserve"> </w:t>
      </w:r>
      <w:r>
        <w:t xml:space="preserve">+63 (2) 8555-6789</w:t>
      </w:r>
    </w:p>
    <w:bookmarkEnd w:id="22"/>
    <w:p>
      <w:pPr>
        <w:pStyle w:val="BodyText"/>
      </w:pPr>
      <w:r>
        <w:t xml:space="preserve">1. DESCRIPTION OF SERVICES — AUDITOR ENGAGEMENT</w:t>
      </w:r>
    </w:p>
    <w:p>
      <w:pPr>
        <w:pStyle w:val="BodyText"/>
      </w:pPr>
      <w:r>
        <w:t xml:space="preserve">This</w:t>
      </w:r>
      <w:r>
        <w:t xml:space="preserve"> </w:t>
      </w:r>
      <w:r>
        <w:t xml:space="preserve">Purchase Order</w:t>
      </w:r>
      <w:r>
        <w:t xml:space="preserve"> </w:t>
      </w:r>
      <w:r>
        <w:t xml:space="preserve">is issued by Manila Pacific Holdings Corporation (hereinafter referred to as the "Buyer") to formally engage the services of Delgado, Santos &amp; Associates CPA (hereinafter referred to as the "Auditor" or "Service Provider") for the conduct of a comprehensive annual financial audit of the Buyer's operations in</w:t>
      </w:r>
      <w:r>
        <w:t xml:space="preserve"> </w:t>
      </w:r>
      <w:r>
        <w:t xml:space="preserve">Philippines Manila</w:t>
      </w:r>
      <w:r>
        <w:t xml:space="preserve">. The</w:t>
      </w:r>
      <w:r>
        <w:t xml:space="preserve"> </w:t>
      </w:r>
      <w:r>
        <w:t xml:space="preserve">Auditor</w:t>
      </w:r>
      <w:r>
        <w:t xml:space="preserve"> </w:t>
      </w:r>
      <w:r>
        <w:t xml:space="preserve">shall perform all procedures in accordance with Philippine Standards on Auditing (PSA), the Revised Financial Reporting Standards for Private Entities (FRSPE), and the applicable provisions of the Revised Corporation Code of the Philippines (Republic Act No. 11232), as well as the rules and regulations of the Board of Accountancy (BOC) and the Professional Regulation Commission (PRC) of the Philippines.</w:t>
      </w:r>
    </w:p>
    <w:p>
      <w:pPr>
        <w:pStyle w:val="BodyText"/>
      </w:pPr>
      <w:r>
        <w:t xml:space="preserve">2. SCOPE OF AUDITOR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Annual Financial Statement Audit for Fiscal Year 2024 (Balance Sheet, Income Statement, Statement of Cash Flows, Statement of Changes in Equity)</w:t>
            </w:r>
          </w:p>
        </w:tc>
        <w:tc>
          <w:tcPr/>
          <w:p>
            <w:pPr>
              <w:pStyle w:val="Compact"/>
              <w:jc w:val="left"/>
            </w:pPr>
            <w:r>
              <w:t xml:space="preserve">Audited Financial Statements with Auditor's Report</w:t>
            </w:r>
          </w:p>
        </w:tc>
        <w:tc>
          <w:tcPr/>
          <w:p>
            <w:pPr>
              <w:pStyle w:val="Compact"/>
              <w:jc w:val="left"/>
            </w:pPr>
            <w:r>
              <w:t xml:space="preserve">July 1 – August 15, 2025</w:t>
            </w:r>
          </w:p>
        </w:tc>
        <w:tc>
          <w:tcPr/>
          <w:p>
            <w:pPr>
              <w:pStyle w:val="Compact"/>
              <w:jc w:val="left"/>
            </w:pPr>
            <w:r>
              <w:t xml:space="preserve">PHP 1,850,000.00</w:t>
            </w:r>
          </w:p>
        </w:tc>
      </w:tr>
      <w:tr>
        <w:tc>
          <w:tcPr/>
          <w:p>
            <w:pPr>
              <w:pStyle w:val="Compact"/>
              <w:jc w:val="left"/>
            </w:pPr>
            <w:r>
              <w:t xml:space="preserve">2</w:t>
            </w:r>
          </w:p>
        </w:tc>
        <w:tc>
          <w:tcPr/>
          <w:p>
            <w:pPr>
              <w:pStyle w:val="Compact"/>
              <w:jc w:val="left"/>
            </w:pPr>
            <w:r>
              <w:t xml:space="preserve">Internal Controls Assessment and Compliance Review (BIR, SSS, PhilHealth, Pag-IBIG)</w:t>
            </w:r>
          </w:p>
        </w:tc>
        <w:tc>
          <w:tcPr/>
          <w:p>
            <w:pPr>
              <w:pStyle w:val="Compact"/>
              <w:jc w:val="left"/>
            </w:pPr>
            <w:r>
              <w:t xml:space="preserve">Internal Control Report &amp; Compliance Memorandum</w:t>
            </w:r>
          </w:p>
        </w:tc>
        <w:tc>
          <w:tcPr/>
          <w:p>
            <w:pPr>
              <w:pStyle w:val="Compact"/>
              <w:jc w:val="left"/>
            </w:pPr>
            <w:r>
              <w:t xml:space="preserve">August 16 – September 10, 2025</w:t>
            </w:r>
          </w:p>
        </w:tc>
        <w:tc>
          <w:tcPr/>
          <w:p>
            <w:pPr>
              <w:pStyle w:val="Compact"/>
              <w:jc w:val="left"/>
            </w:pPr>
            <w:r>
              <w:t xml:space="preserve">PHP 620,000.00</w:t>
            </w:r>
          </w:p>
        </w:tc>
      </w:tr>
      <w:tr>
        <w:tc>
          <w:tcPr/>
          <w:p>
            <w:pPr>
              <w:pStyle w:val="Compact"/>
              <w:jc w:val="left"/>
            </w:pPr>
            <w:r>
              <w:t xml:space="preserve">3</w:t>
            </w:r>
          </w:p>
        </w:tc>
        <w:tc>
          <w:tcPr/>
          <w:p>
            <w:pPr>
              <w:pStyle w:val="Compact"/>
              <w:jc w:val="left"/>
            </w:pPr>
            <w:r>
              <w:t xml:space="preserve">Tax Compliance Audit and BIR Filing Verification (Philippines Manila jurisdiction)</w:t>
            </w:r>
          </w:p>
        </w:tc>
        <w:tc>
          <w:tcPr/>
          <w:p>
            <w:pPr>
              <w:pStyle w:val="Compact"/>
              <w:jc w:val="left"/>
            </w:pPr>
            <w:r>
              <w:t xml:space="preserve">Tax Audit Report &amp; BIR Compliance Certificate</w:t>
            </w:r>
          </w:p>
        </w:tc>
        <w:tc>
          <w:tcPr/>
          <w:p>
            <w:pPr>
              <w:pStyle w:val="Compact"/>
              <w:jc w:val="left"/>
            </w:pPr>
            <w:r>
              <w:t xml:space="preserve">September 11 – October 5, 2025</w:t>
            </w:r>
          </w:p>
        </w:tc>
        <w:tc>
          <w:tcPr/>
          <w:p>
            <w:pPr>
              <w:pStyle w:val="Compact"/>
              <w:jc w:val="left"/>
            </w:pPr>
            <w:r>
              <w:t xml:space="preserve">PHP 480,000.00</w:t>
            </w:r>
          </w:p>
        </w:tc>
      </w:tr>
      <w:tr>
        <w:tc>
          <w:tcPr/>
          <w:p>
            <w:pPr>
              <w:pStyle w:val="Compact"/>
              <w:jc w:val="left"/>
            </w:pPr>
            <w:r>
              <w:t xml:space="preserve">4</w:t>
            </w:r>
          </w:p>
        </w:tc>
        <w:tc>
          <w:tcPr/>
          <w:p>
            <w:pPr>
              <w:pStyle w:val="Compact"/>
              <w:jc w:val="left"/>
            </w:pPr>
            <w:r>
              <w:t xml:space="preserve">Forensic Audit of Related-Party Transactions and Revenue Recognition</w:t>
            </w:r>
          </w:p>
        </w:tc>
        <w:tc>
          <w:tcPr/>
          <w:p>
            <w:pPr>
              <w:pStyle w:val="Compact"/>
              <w:jc w:val="left"/>
            </w:pPr>
            <w:r>
              <w:t xml:space="preserve">Forensic Audit Report with Findings</w:t>
            </w:r>
          </w:p>
        </w:tc>
        <w:tc>
          <w:tcPr/>
          <w:p>
            <w:pPr>
              <w:pStyle w:val="Compact"/>
              <w:jc w:val="left"/>
            </w:pPr>
            <w:r>
              <w:t xml:space="preserve">October 6 – November 15, 2025</w:t>
            </w:r>
          </w:p>
        </w:tc>
        <w:tc>
          <w:tcPr/>
          <w:p>
            <w:pPr>
              <w:pStyle w:val="Compact"/>
              <w:jc w:val="left"/>
            </w:pPr>
            <w:r>
              <w:t xml:space="preserve">PHP 750,000.00</w:t>
            </w:r>
          </w:p>
        </w:tc>
      </w:tr>
      <w:tr>
        <w:tc>
          <w:tcPr/>
          <w:p>
            <w:pPr>
              <w:pStyle w:val="Compact"/>
              <w:jc w:val="left"/>
            </w:pPr>
            <w:r>
              <w:t xml:space="preserve">5</w:t>
            </w:r>
          </w:p>
        </w:tc>
        <w:tc>
          <w:tcPr/>
          <w:p>
            <w:pPr>
              <w:pStyle w:val="Compact"/>
              <w:jc w:val="left"/>
            </w:pPr>
            <w:r>
              <w:t xml:space="preserve">Management Letter and Advisory Consultation (2 sessions in Philippines Manila office)</w:t>
            </w:r>
          </w:p>
        </w:tc>
        <w:tc>
          <w:tcPr/>
          <w:p>
            <w:pPr>
              <w:pStyle w:val="Compact"/>
              <w:jc w:val="left"/>
            </w:pPr>
            <w:r>
              <w:t xml:space="preserve">Management Letter &amp; Advisory Notes</w:t>
            </w:r>
          </w:p>
        </w:tc>
        <w:tc>
          <w:tcPr/>
          <w:p>
            <w:pPr>
              <w:pStyle w:val="Compact"/>
              <w:jc w:val="left"/>
            </w:pPr>
            <w:r>
              <w:t xml:space="preserve">November 16 – December 5, 2025</w:t>
            </w:r>
          </w:p>
        </w:tc>
        <w:tc>
          <w:tcPr/>
          <w:p>
            <w:pPr>
              <w:pStyle w:val="Compact"/>
              <w:jc w:val="left"/>
            </w:pPr>
            <w:r>
              <w:t xml:space="preserve">PHP 300,000.00</w:t>
            </w:r>
          </w:p>
        </w:tc>
      </w:tr>
      <w:tr>
        <w:tc>
          <w:tcPr>
            <w:gridSpan w:val="4"/>
          </w:tcPr>
          <w:p>
            <w:pPr>
              <w:pStyle w:val="Compact"/>
              <w:jc w:val="right"/>
            </w:pPr>
            <w:r>
              <w:t xml:space="preserve">TOTAL CONTRACT VALUE</w:t>
            </w:r>
          </w:p>
        </w:tc>
        <w:tc>
          <w:tcPr/>
          <w:p>
            <w:pPr>
              <w:pStyle w:val="Compact"/>
              <w:jc w:val="left"/>
            </w:pPr>
            <w:r>
              <w:t xml:space="preserve">PHP 4,000,000.00</w:t>
            </w:r>
          </w:p>
        </w:tc>
      </w:tr>
    </w:tbl>
    <w:p>
      <w:pPr>
        <w:pStyle w:val="BodyText"/>
      </w:pPr>
      <w:r>
        <w:t xml:space="preserve">3. TERMS AND CONDITIONS</w:t>
      </w:r>
    </w:p>
    <w:p>
      <w:pPr>
        <w:pStyle w:val="BodyText"/>
      </w:pPr>
      <w:r>
        <w:rPr>
          <w:bCs/>
          <w:b/>
        </w:rPr>
        <w:t xml:space="preserve">3.1 Payment Terms:</w:t>
      </w:r>
      <w:r>
        <w:t xml:space="preserve"> </w:t>
      </w:r>
      <w:r>
        <w:t xml:space="preserve">Payment for the services rendered by the</w:t>
      </w:r>
      <w:r>
        <w:t xml:space="preserve"> </w:t>
      </w:r>
      <w:r>
        <w:t xml:space="preserve">Auditor</w:t>
      </w:r>
      <w:r>
        <w:t xml:space="preserve"> </w:t>
      </w:r>
      <w:r>
        <w:t xml:space="preserve">shall be made in Philippine Pesos (PHP) via bank transfer to the account designated by the Service Provider. Payment shall be released in three (3) equal installments: thirty percent (30%) upon execution of this</w:t>
      </w:r>
      <w:r>
        <w:t xml:space="preserve"> </w:t>
      </w:r>
      <w:r>
        <w:t xml:space="preserve">Purchase Order</w:t>
      </w:r>
      <w:r>
        <w:t xml:space="preserve">, forty percent (40%) upon submission of the interim audit report, and thirty percent (30%) upon delivery of the final audited financial statements. All payments are subject to the applicable 12% withholding tax under the National Internal Revenue Code of the Philippines (Republic Act No. 10963) as amended.</w:t>
      </w:r>
    </w:p>
    <w:p>
      <w:pPr>
        <w:pStyle w:val="BodyText"/>
      </w:pPr>
      <w:r>
        <w:rPr>
          <w:bCs/>
          <w:b/>
        </w:rPr>
        <w:t xml:space="preserve">3.2 Jurisdiction and Governing Law:</w:t>
      </w:r>
      <w:r>
        <w:t xml:space="preserve"> </w:t>
      </w:r>
      <w:r>
        <w:t xml:space="preserve">This</w:t>
      </w:r>
      <w:r>
        <w:t xml:space="preserve"> </w:t>
      </w:r>
      <w:r>
        <w:t xml:space="preserve">Purchase Order</w:t>
      </w:r>
      <w:r>
        <w:t xml:space="preserve"> </w:t>
      </w:r>
      <w:r>
        <w:t xml:space="preserve">and all matters arising from the engagement of the</w:t>
      </w:r>
      <w:r>
        <w:t xml:space="preserve"> </w:t>
      </w:r>
      <w:r>
        <w:t xml:space="preserve">Auditor</w:t>
      </w:r>
      <w:r>
        <w:t xml:space="preserve"> </w:t>
      </w:r>
      <w:r>
        <w:t xml:space="preserve">shall be governed by and construed in accordance with the laws of the Republic of the Philippines. Any disputes arising hereunder shall be resolved through the courts of competent jurisdiction in</w:t>
      </w:r>
      <w:r>
        <w:t xml:space="preserve"> </w:t>
      </w:r>
      <w:r>
        <w:t xml:space="preserve">Philippines Manila</w:t>
      </w:r>
      <w:r>
        <w:t xml:space="preserve">, specifically the Regional Trial Court of Makati City or the City of Manila, as applicable. The parties agree that all proceedings shall be conducted in the English language.</w:t>
      </w:r>
    </w:p>
    <w:p>
      <w:pPr>
        <w:pStyle w:val="BodyText"/>
      </w:pPr>
      <w:r>
        <w:rPr>
          <w:bCs/>
          <w:b/>
        </w:rPr>
        <w:t xml:space="preserve">3.3 Confidentiality:</w:t>
      </w:r>
      <w:r>
        <w:t xml:space="preserve"> </w:t>
      </w:r>
      <w:r>
        <w:t xml:space="preserve">The</w:t>
      </w:r>
      <w:r>
        <w:t xml:space="preserve"> </w:t>
      </w:r>
      <w:r>
        <w:t xml:space="preserve">Auditor</w:t>
      </w:r>
      <w:r>
        <w:t xml:space="preserve"> </w:t>
      </w:r>
      <w:r>
        <w:t xml:space="preserve">shall maintain strict confidentiality over all financial records, trade secrets, proprietary data, and business information of the Buyer obtained during the course of the audit engagement in</w:t>
      </w:r>
      <w:r>
        <w:t xml:space="preserve"> </w:t>
      </w:r>
      <w:r>
        <w:t xml:space="preserve">Philippines Manila</w:t>
      </w:r>
      <w:r>
        <w:t xml:space="preserve">. This obligation of confidentiality shall survive the termination or expiration of this</w:t>
      </w:r>
      <w:r>
        <w:t xml:space="preserve"> </w:t>
      </w:r>
      <w:r>
        <w:t xml:space="preserve">Purchase Order</w:t>
      </w:r>
      <w:r>
        <w:t xml:space="preserve"> </w:t>
      </w:r>
      <w:r>
        <w:t xml:space="preserve">for a period of five (5) years, in compliance with the Data Privacy Act of 2012 (Republic Act No. 10173).</w:t>
      </w:r>
    </w:p>
    <w:p>
      <w:pPr>
        <w:pStyle w:val="BodyText"/>
      </w:pPr>
      <w:r>
        <w:rPr>
          <w:bCs/>
          <w:b/>
        </w:rPr>
        <w:t xml:space="preserve">3.4 Professional Standards:</w:t>
      </w:r>
      <w:r>
        <w:t xml:space="preserve"> </w:t>
      </w:r>
      <w:r>
        <w:t xml:space="preserve">The</w:t>
      </w:r>
      <w:r>
        <w:t xml:space="preserve"> </w:t>
      </w:r>
      <w:r>
        <w:t xml:space="preserve">Auditor</w:t>
      </w:r>
      <w:r>
        <w:t xml:space="preserve"> </w:t>
      </w:r>
      <w:r>
        <w:t xml:space="preserve">represents and warrants that all personnel assigned to this engagement are duly licensed Certified Public Accountants (CPAs) registered with the Professional Regulation Commission (PRC) of the Philippines and are in good standing with the Board of Accountancy. The</w:t>
      </w:r>
      <w:r>
        <w:t xml:space="preserve"> </w:t>
      </w:r>
      <w:r>
        <w:t xml:space="preserve">Auditor</w:t>
      </w:r>
      <w:r>
        <w:t xml:space="preserve"> </w:t>
      </w:r>
      <w:r>
        <w:t xml:space="preserve">shall perform all audit procedures in strict adherence to Philippine Standards on Auditing (PSA) issued by the Financial Reporting Standards Council (FRSC) and the Philippine Institute of Certified Public Accountants (PICPA).</w:t>
      </w:r>
    </w:p>
    <w:p>
      <w:pPr>
        <w:pStyle w:val="BodyText"/>
      </w:pPr>
      <w:r>
        <w:rPr>
          <w:bCs/>
          <w:b/>
        </w:rPr>
        <w:t xml:space="preserve">3.5 Deliverables and Acceptance:</w:t>
      </w:r>
      <w:r>
        <w:t xml:space="preserve"> </w:t>
      </w:r>
      <w:r>
        <w:t xml:space="preserve">All deliverables produced by the</w:t>
      </w:r>
      <w:r>
        <w:t xml:space="preserve"> </w:t>
      </w:r>
      <w:r>
        <w:t xml:space="preserve">Auditor</w:t>
      </w:r>
      <w:r>
        <w:t xml:space="preserve"> </w:t>
      </w:r>
      <w:r>
        <w:t xml:space="preserve">shall be submitted in both hard copy (three (3) original sets) and electronic format (PDF and editable Excel) to the Buyer's principal office located in</w:t>
      </w:r>
      <w:r>
        <w:t xml:space="preserve"> </w:t>
      </w:r>
      <w:r>
        <w:t xml:space="preserve">Philippines Manila</w:t>
      </w:r>
      <w:r>
        <w:t xml:space="preserve">. The Buyer shall have fifteen (15) calendar days from the date of receipt to review and accept or reject each deliverable. Failure to respond within the stipulated period shall constitute deemed acceptance.</w:t>
      </w:r>
    </w:p>
    <w:p>
      <w:pPr>
        <w:pStyle w:val="BodyText"/>
      </w:pPr>
      <w:r>
        <w:rPr>
          <w:bCs/>
          <w:b/>
        </w:rPr>
        <w:t xml:space="preserve">3.6 Cancellation and Termination:</w:t>
      </w:r>
      <w:r>
        <w:t xml:space="preserve"> </w:t>
      </w:r>
      <w:r>
        <w:t xml:space="preserve">Either party may cancel this</w:t>
      </w:r>
      <w:r>
        <w:t xml:space="preserve"> </w:t>
      </w:r>
      <w:r>
        <w:t xml:space="preserve">Purchase Order</w:t>
      </w:r>
      <w:r>
        <w:t xml:space="preserve"> </w:t>
      </w:r>
      <w:r>
        <w:t xml:space="preserve">by providing thirty (30) days prior written notice to the other party. In the event of cancellation by the Buyer, the</w:t>
      </w:r>
      <w:r>
        <w:t xml:space="preserve"> </w:t>
      </w:r>
      <w:r>
        <w:t xml:space="preserve">Auditor</w:t>
      </w:r>
      <w:r>
        <w:t xml:space="preserve"> </w:t>
      </w:r>
      <w:r>
        <w:t xml:space="preserve">shall be entitled to compensation for all services rendered and expenses incurred up to the date of cancellation. In the event of cancellation by the</w:t>
      </w:r>
      <w:r>
        <w:t xml:space="preserve"> </w:t>
      </w:r>
      <w:r>
        <w:t xml:space="preserve">Auditor</w:t>
      </w:r>
      <w:r>
        <w:t xml:space="preserve"> </w:t>
      </w:r>
      <w:r>
        <w:t xml:space="preserve">without justifiable cause, the</w:t>
      </w:r>
      <w:r>
        <w:t xml:space="preserve"> </w:t>
      </w:r>
      <w:r>
        <w:t xml:space="preserve">Auditor</w:t>
      </w:r>
      <w:r>
        <w:t xml:space="preserve"> </w:t>
      </w:r>
      <w:r>
        <w:t xml:space="preserve">shall refund all advance payments received and shall be liable for liquidated damages in the amount of ten percent (10%) of the total contract value.</w:t>
      </w:r>
    </w:p>
    <w:p>
      <w:pPr>
        <w:pStyle w:val="BodyText"/>
      </w:pPr>
      <w:r>
        <w:rPr>
          <w:bCs/>
          <w:b/>
        </w:rPr>
        <w:t xml:space="preserve">3.7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acts of God, natural disasters (including typhoons, earthquakes, and volcanic eruptions common in the</w:t>
      </w:r>
      <w:r>
        <w:t xml:space="preserve"> </w:t>
      </w:r>
      <w:r>
        <w:t xml:space="preserve">Philippines Manila</w:t>
      </w:r>
      <w:r>
        <w:t xml:space="preserve"> </w:t>
      </w:r>
      <w:r>
        <w:t xml:space="preserve">region), government-imposed lockdowns, pandemics, or other events beyond the reasonable control of the affected party, provided that the affected party gives prompt written notice to the other party.</w:t>
      </w:r>
    </w:p>
    <w:p>
      <w:pPr>
        <w:pStyle w:val="BodyText"/>
      </w:pPr>
      <w:r>
        <w:rPr>
          <w:bCs/>
          <w:b/>
        </w:rPr>
        <w:t xml:space="preserve">3.8 Anti-Corruption and Compliance:</w:t>
      </w:r>
      <w:r>
        <w:t xml:space="preserve"> </w:t>
      </w:r>
      <w:r>
        <w:t xml:space="preserve">The</w:t>
      </w:r>
      <w:r>
        <w:t xml:space="preserve"> </w:t>
      </w:r>
      <w:r>
        <w:t xml:space="preserve">Auditor</w:t>
      </w:r>
      <w:r>
        <w:t xml:space="preserve"> </w:t>
      </w:r>
      <w:r>
        <w:t xml:space="preserve">certifies that it shall comply with all anti-corruption laws of the Philippines, including the Anti-Graft and Corrupt Practices Act (Republic Act No. 3019) and the Anti-Money Laundering Act (Republic Act No. 9160, as amended by Republic Act No. 10343). The</w:t>
      </w:r>
      <w:r>
        <w:t xml:space="preserve"> </w:t>
      </w:r>
      <w:r>
        <w:t xml:space="preserve">Auditor</w:t>
      </w:r>
      <w:r>
        <w:t xml:space="preserve"> </w:t>
      </w:r>
      <w:r>
        <w:t xml:space="preserve">shall not solicit or accept any form of gratuity, kickback, or improper benefit in connection with this</w:t>
      </w:r>
      <w:r>
        <w:t xml:space="preserve"> </w:t>
      </w:r>
      <w:r>
        <w:t xml:space="preserve">Purchase Order</w:t>
      </w:r>
      <w:r>
        <w:t xml:space="preserve">.</w:t>
      </w:r>
    </w:p>
    <w:p>
      <w:pPr>
        <w:pStyle w:val="BodyText"/>
      </w:pPr>
      <w:r>
        <w:t xml:space="preserve">4. AUTHORIZED SIGNATORIES</w:t>
      </w:r>
    </w:p>
    <w:p>
      <w:pPr>
        <w:pStyle w:val="BodyText"/>
      </w:pPr>
      <w:r>
        <w:rPr>
          <w:bCs/>
          <w:b/>
        </w:rPr>
        <w:t xml:space="preserve">For the Buyer:</w:t>
      </w:r>
      <w:r>
        <w:br/>
      </w:r>
      <w:r>
        <w:t xml:space="preserve">Manila Pacific Holdings Corporation</w:t>
      </w:r>
      <w:r>
        <w:br/>
      </w:r>
      <w:r>
        <w:br/>
      </w:r>
      <w:r>
        <w:t xml:space="preserve">_________________________________</w:t>
      </w:r>
      <w:r>
        <w:br/>
      </w:r>
      <w:r>
        <w:t xml:space="preserve">Engr. Ricardo S. Villanueva</w:t>
      </w:r>
      <w:r>
        <w:br/>
      </w:r>
      <w:r>
        <w:t xml:space="preserve">Chief Financial Officer</w:t>
      </w:r>
      <w:r>
        <w:br/>
      </w:r>
      <w:r>
        <w:t xml:space="preserve">Date: ___________________</w:t>
      </w:r>
    </w:p>
    <w:p>
      <w:pPr>
        <w:pStyle w:val="BodyText"/>
      </w:pPr>
      <w:r>
        <w:rPr>
          <w:bCs/>
          <w:b/>
        </w:rPr>
        <w:t xml:space="preserve">For the Auditor / Service Provider:</w:t>
      </w:r>
      <w:r>
        <w:br/>
      </w:r>
      <w:r>
        <w:t xml:space="preserve">Delgado, Santos &amp; Associates CPA</w:t>
      </w:r>
      <w:r>
        <w:br/>
      </w:r>
      <w:r>
        <w:br/>
      </w:r>
      <w:r>
        <w:t xml:space="preserve">_________________________________</w:t>
      </w:r>
      <w:r>
        <w:br/>
      </w:r>
      <w:r>
        <w:t xml:space="preserve">CPA Maria L. Delgado</w:t>
      </w:r>
      <w:r>
        <w:br/>
      </w:r>
      <w:r>
        <w:t xml:space="preserve">Managing Partner</w:t>
      </w:r>
      <w:r>
        <w:br/>
      </w:r>
      <w:r>
        <w:t xml:space="preserve">Date: ___________________</w:t>
      </w:r>
    </w:p>
    <w:p>
      <w:pPr>
        <w:pStyle w:val="BodyText"/>
      </w:pPr>
      <w:r>
        <w:t xml:space="preserve">This Purchase Order is valid only for the engagement of Auditor services as specified herein and is issued under the authority of the Board of Directors of Manila Pacific Holdings Corporation. All communications regarding this Purchase Order shall be directed to the Buyer's office in Philippines Manila. This document is printed on company letterhead and bears the official seal of the issuing corporation. PO No. PM-2025-04782 | Philippines Manila | Republic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Philippines Manila</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