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Procurement of Professional Auditor Services — State of Qatar, Doha</w:t>
      </w:r>
    </w:p>
    <w:p>
      <w:pPr>
        <w:pStyle w:val="BodyText"/>
      </w:pPr>
      <w:r>
        <w:t xml:space="preserve">Issued in accordance with the Commercial Companies Law of Qatar (Law No. 11 of 2015) and applicable Doha municipal regulations</w:t>
      </w:r>
    </w:p>
    <w:bookmarkEnd w:id="20"/>
    <w:bookmarkStart w:id="21" w:name="buyer-requiring-department"/>
    <w:p>
      <w:pPr>
        <w:pStyle w:val="Heading3"/>
      </w:pPr>
      <w:r>
        <w:t xml:space="preserve">BUYER / REQUIRING DEPARTMENT</w:t>
      </w:r>
    </w:p>
    <w:p>
      <w:pPr>
        <w:pStyle w:val="FirstParagraph"/>
      </w:pPr>
      <w:r>
        <w:rPr>
          <w:bCs/>
          <w:b/>
        </w:rPr>
        <w:t xml:space="preserve">Al Rayyan Financial Group W.L.L.</w:t>
      </w:r>
      <w:r>
        <w:br/>
      </w:r>
      <w:r>
        <w:t xml:space="preserve">Office 12, Level 8, Doha Financial Centre</w:t>
      </w:r>
      <w:r>
        <w:br/>
      </w:r>
      <w:r>
        <w:t xml:space="preserve">Street 42, Zone 32, Doha, Qatar</w:t>
      </w:r>
      <w:r>
        <w:br/>
      </w:r>
      <w:r>
        <w:t xml:space="preserve">P.O. Box: 4521, Doha, Qatar</w:t>
      </w:r>
      <w:r>
        <w:br/>
      </w:r>
      <w:r>
        <w:t xml:space="preserve">Commercial Registration No.: 123456</w:t>
      </w:r>
      <w:r>
        <w:br/>
      </w:r>
      <w:r>
        <w:t xml:space="preserve">VAT Registration No.: QV-300123456</w:t>
      </w:r>
      <w:r>
        <w:br/>
      </w:r>
      <w:r>
        <w:t xml:space="preserve">Contact: procurement@alrayyanfg.qa</w:t>
      </w:r>
      <w:r>
        <w:br/>
      </w:r>
      <w:r>
        <w:t xml:space="preserve">Tel: +974-4455-6677</w:t>
      </w:r>
    </w:p>
    <w:bookmarkEnd w:id="21"/>
    <w:bookmarkStart w:id="22" w:name="supplier-auditor-provider"/>
    <w:p>
      <w:pPr>
        <w:pStyle w:val="Heading3"/>
      </w:pPr>
      <w:r>
        <w:t xml:space="preserve">SUPPLIER / AUDITOR PROVIDER</w:t>
      </w:r>
    </w:p>
    <w:p>
      <w:pPr>
        <w:pStyle w:val="FirstParagraph"/>
      </w:pPr>
      <w:r>
        <w:rPr>
          <w:bCs/>
          <w:b/>
        </w:rPr>
        <w:t xml:space="preserve">Al Jazeera Audit &amp; Assurance Partners LLC</w:t>
      </w:r>
      <w:r>
        <w:br/>
      </w:r>
      <w:r>
        <w:t xml:space="preserve">Level 5, West Bay Tower, Doha, Qatar</w:t>
      </w:r>
      <w:r>
        <w:br/>
      </w:r>
      <w:r>
        <w:t xml:space="preserve">P.O. Box: 7890, Doha, Qatar</w:t>
      </w:r>
      <w:r>
        <w:br/>
      </w:r>
      <w:r>
        <w:t xml:space="preserve">Commercial Registration No.: 654321</w:t>
      </w:r>
      <w:r>
        <w:br/>
      </w:r>
      <w:r>
        <w:t xml:space="preserve">VAT Registration No.: QV-300654321</w:t>
      </w:r>
      <w:r>
        <w:br/>
      </w:r>
      <w:r>
        <w:t xml:space="preserve">Contact: engagements@ajaudit.qa</w:t>
      </w:r>
      <w:r>
        <w:br/>
      </w:r>
      <w:r>
        <w:t xml:space="preserve">Tel: +974-4411-2233</w:t>
      </w:r>
      <w:r>
        <w:br/>
      </w:r>
      <w:r>
        <w:t xml:space="preserve">QCSB License No.: QCSB-2024-0087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PO-QA-2025-00487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Doha, State of Qatar (Primary Office &amp; Field Sites)</w:t>
            </w:r>
          </w:p>
        </w:tc>
      </w:tr>
      <w:tr>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Validity of This Purchase Order:</w:t>
            </w:r>
          </w:p>
        </w:tc>
        <w:tc>
          <w:tcPr/>
          <w:p>
            <w:pPr>
              <w:pStyle w:val="Compact"/>
              <w:jc w:val="left"/>
            </w:pPr>
            <w:r>
              <w:t xml:space="preserve">30 calendar days from date of issue</w:t>
            </w:r>
          </w:p>
        </w:tc>
      </w:tr>
    </w:tbl>
    <w:p>
      <w:pPr>
        <w:pStyle w:val="BodyText"/>
      </w:pPr>
      <w:r>
        <w:rPr>
          <w:bCs/>
          <w:b/>
        </w:rPr>
        <w:t xml:space="preserve">Regulatory Note:</w:t>
      </w:r>
      <w:r>
        <w:t xml:space="preserve"> </w:t>
      </w:r>
      <w:r>
        <w:t xml:space="preserve">This Purchase Order is issued for the engagement of a licensed Auditor operating within the jurisdiction of Qatar Doha. All audit services rendered under this Purchase Order shall comply with the standards set forth by the Qatar Central Bank (QCB), the Qatar Financial Centre Regulatory Authority (QFCRA), and the International Standards on Auditing (ISA) as adopted in Qatar. The Auditor must hold a valid license issued by the Qatar Company and Securities Bureau (QCSB) and must be registered with the Ministry of Commerce and Industry in Doha.</w:t>
      </w:r>
    </w:p>
    <w:p>
      <w:pPr>
        <w:pStyle w:val="BodyText"/>
      </w:pPr>
      <w:r>
        <w:t xml:space="preserve">1. DESCRIPTION OF AUDITOR SERVICES REQUIRED</w:t>
      </w:r>
    </w:p>
    <w:p>
      <w:pPr>
        <w:pStyle w:val="BodyText"/>
      </w:pPr>
      <w:r>
        <w:t xml:space="preserve">This Purchase Order is issued by Al Rayyan Financial Group W.L.L. to formally procure the professional services of a qualified Auditor, Al Jazeera Audit &amp; Assurance Partners LLC, for the fiscal year 2024–2025. The Auditor shall perform a comprehensive statutory and internal audit of the Buyer’s financial statements, operational processes, and compliance frameworks as situated in Doha, Qatar. The scope of the Auditor’s engagement under this Purchase Order is detailed in the table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Amount (QAR)</w:t>
            </w:r>
          </w:p>
        </w:tc>
        <w:tc>
          <w:tcPr/>
          <w:p>
            <w:pPr>
              <w:pStyle w:val="Compact"/>
              <w:jc w:val="left"/>
            </w:pPr>
            <w:r>
              <w:t xml:space="preserve">Unit</w:t>
            </w:r>
          </w:p>
        </w:tc>
      </w:tr>
      <w:tr>
        <w:tc>
          <w:tcPr/>
          <w:p>
            <w:pPr>
              <w:pStyle w:val="Compact"/>
              <w:jc w:val="left"/>
            </w:pPr>
            <w:r>
              <w:t xml:space="preserve">1.1</w:t>
            </w:r>
          </w:p>
        </w:tc>
        <w:tc>
          <w:tcPr/>
          <w:p>
            <w:pPr>
              <w:pStyle w:val="Compact"/>
              <w:jc w:val="left"/>
            </w:pPr>
            <w:r>
              <w:t xml:space="preserve">Statutory Audit of Annual Financial Statements (FY 2024–2025) in accordance with QFCRA and QCB requirements, conducted at the Buyer’s Doha headquarters</w:t>
            </w:r>
          </w:p>
        </w:tc>
        <w:tc>
          <w:tcPr/>
          <w:p>
            <w:pPr>
              <w:pStyle w:val="Compact"/>
              <w:jc w:val="left"/>
            </w:pPr>
            <w:r>
              <w:t xml:space="preserve">Audited Financial Statements &amp; Auditor’s Report</w:t>
            </w:r>
          </w:p>
        </w:tc>
        <w:tc>
          <w:tcPr/>
          <w:p>
            <w:pPr>
              <w:pStyle w:val="Compact"/>
              <w:jc w:val="left"/>
            </w:pPr>
            <w:r>
              <w:t xml:space="preserve">July – September 2025</w:t>
            </w:r>
          </w:p>
        </w:tc>
        <w:tc>
          <w:tcPr/>
          <w:p>
            <w:pPr>
              <w:pStyle w:val="Compact"/>
              <w:jc w:val="left"/>
            </w:pPr>
            <w:r>
              <w:t xml:space="preserve">185,000.00</w:t>
            </w:r>
          </w:p>
        </w:tc>
        <w:tc>
          <w:tcPr/>
          <w:p>
            <w:pPr>
              <w:pStyle w:val="Compact"/>
              <w:jc w:val="left"/>
            </w:pPr>
            <w:r>
              <w:t xml:space="preserve">Lump Sum</w:t>
            </w:r>
          </w:p>
        </w:tc>
      </w:tr>
      <w:tr>
        <w:tc>
          <w:tcPr/>
          <w:p>
            <w:pPr>
              <w:pStyle w:val="Compact"/>
              <w:jc w:val="left"/>
            </w:pPr>
            <w:r>
              <w:t xml:space="preserve">1.2</w:t>
            </w:r>
          </w:p>
        </w:tc>
        <w:tc>
          <w:tcPr/>
          <w:p>
            <w:pPr>
              <w:pStyle w:val="Compact"/>
              <w:jc w:val="left"/>
            </w:pPr>
            <w:r>
              <w:t xml:space="preserve">Internal Audit of Operational Controls, Risk Management Framework, and IT Systems across all Doha branch offices</w:t>
            </w:r>
          </w:p>
        </w:tc>
        <w:tc>
          <w:tcPr/>
          <w:p>
            <w:pPr>
              <w:pStyle w:val="Compact"/>
              <w:jc w:val="left"/>
            </w:pPr>
            <w:r>
              <w:t xml:space="preserve">Internal Audit Report with Findings &amp; Recommendations</w:t>
            </w:r>
          </w:p>
        </w:tc>
        <w:tc>
          <w:tcPr/>
          <w:p>
            <w:pPr>
              <w:pStyle w:val="Compact"/>
              <w:jc w:val="left"/>
            </w:pPr>
            <w:r>
              <w:t xml:space="preserve">August – October 2025</w:t>
            </w:r>
          </w:p>
        </w:tc>
        <w:tc>
          <w:tcPr/>
          <w:p>
            <w:pPr>
              <w:pStyle w:val="Compact"/>
              <w:jc w:val="left"/>
            </w:pPr>
            <w:r>
              <w:t xml:space="preserve">120,000.00</w:t>
            </w:r>
          </w:p>
        </w:tc>
        <w:tc>
          <w:tcPr/>
          <w:p>
            <w:pPr>
              <w:pStyle w:val="Compact"/>
              <w:jc w:val="left"/>
            </w:pPr>
            <w:r>
              <w:t xml:space="preserve">Lump Sum</w:t>
            </w:r>
          </w:p>
        </w:tc>
      </w:tr>
      <w:tr>
        <w:tc>
          <w:tcPr/>
          <w:p>
            <w:pPr>
              <w:pStyle w:val="Compact"/>
              <w:jc w:val="left"/>
            </w:pPr>
            <w:r>
              <w:t xml:space="preserve">1.3</w:t>
            </w:r>
          </w:p>
        </w:tc>
        <w:tc>
          <w:tcPr/>
          <w:p>
            <w:pPr>
              <w:pStyle w:val="Compact"/>
              <w:jc w:val="left"/>
            </w:pPr>
            <w:r>
              <w:t xml:space="preserve">Compliance Audit for Anti-Money Laundering (AML) and Counter-Terrorism Financing (CTF) obligations as mandated by the Qatar Central Bank</w:t>
            </w:r>
          </w:p>
        </w:tc>
        <w:tc>
          <w:tcPr/>
          <w:p>
            <w:pPr>
              <w:pStyle w:val="Compact"/>
              <w:jc w:val="left"/>
            </w:pPr>
            <w:r>
              <w:t xml:space="preserve">AML/CTF Compliance Audit Report</w:t>
            </w:r>
          </w:p>
        </w:tc>
        <w:tc>
          <w:tcPr/>
          <w:p>
            <w:pPr>
              <w:pStyle w:val="Compact"/>
              <w:jc w:val="left"/>
            </w:pPr>
            <w:r>
              <w:t xml:space="preserve">September – November 2025</w:t>
            </w:r>
          </w:p>
        </w:tc>
        <w:tc>
          <w:tcPr/>
          <w:p>
            <w:pPr>
              <w:pStyle w:val="Compact"/>
              <w:jc w:val="left"/>
            </w:pPr>
            <w:r>
              <w:t xml:space="preserve">95,000.00</w:t>
            </w:r>
          </w:p>
        </w:tc>
        <w:tc>
          <w:tcPr/>
          <w:p>
            <w:pPr>
              <w:pStyle w:val="Compact"/>
              <w:jc w:val="left"/>
            </w:pPr>
            <w:r>
              <w:t xml:space="preserve">Lump Sum</w:t>
            </w:r>
          </w:p>
        </w:tc>
      </w:tr>
      <w:tr>
        <w:tc>
          <w:tcPr/>
          <w:p>
            <w:pPr>
              <w:pStyle w:val="Compact"/>
              <w:jc w:val="left"/>
            </w:pPr>
            <w:r>
              <w:t xml:space="preserve">1.4</w:t>
            </w:r>
          </w:p>
        </w:tc>
        <w:tc>
          <w:tcPr/>
          <w:p>
            <w:pPr>
              <w:pStyle w:val="Compact"/>
              <w:jc w:val="left"/>
            </w:pPr>
            <w:r>
              <w:t xml:space="preserve">Forensic Audit of Selected Transactions (upon Buyer’s written instruction, if triggered)</w:t>
            </w:r>
          </w:p>
        </w:tc>
        <w:tc>
          <w:tcPr/>
          <w:p>
            <w:pPr>
              <w:pStyle w:val="Compact"/>
              <w:jc w:val="left"/>
            </w:pPr>
            <w:r>
              <w:t xml:space="preserve">Forensic Audit Report</w:t>
            </w:r>
          </w:p>
        </w:tc>
        <w:tc>
          <w:tcPr/>
          <w:p>
            <w:pPr>
              <w:pStyle w:val="Compact"/>
              <w:jc w:val="left"/>
            </w:pPr>
            <w:r>
              <w:t xml:space="preserve">As required (max 60 days)</w:t>
            </w:r>
          </w:p>
        </w:tc>
        <w:tc>
          <w:tcPr/>
          <w:p>
            <w:pPr>
              <w:pStyle w:val="Compact"/>
              <w:jc w:val="left"/>
            </w:pPr>
            <w:r>
              <w:t xml:space="preserve">75,000.00</w:t>
            </w:r>
          </w:p>
        </w:tc>
        <w:tc>
          <w:tcPr/>
          <w:p>
            <w:pPr>
              <w:pStyle w:val="Compact"/>
              <w:jc w:val="left"/>
            </w:pPr>
            <w:r>
              <w:t xml:space="preserve">Contingent</w:t>
            </w:r>
          </w:p>
        </w:tc>
      </w:tr>
      <w:tr>
        <w:tc>
          <w:tcPr/>
          <w:p>
            <w:pPr>
              <w:pStyle w:val="Compact"/>
              <w:jc w:val="left"/>
            </w:pPr>
            <w:r>
              <w:t xml:space="preserve">1.5</w:t>
            </w:r>
          </w:p>
        </w:tc>
        <w:tc>
          <w:tcPr/>
          <w:p>
            <w:pPr>
              <w:pStyle w:val="Compact"/>
              <w:jc w:val="left"/>
            </w:pPr>
            <w:r>
              <w:t xml:space="preserve">Monthly Advisory Consultation with the Buyer’s CFO and Board of Directors in Doha (12 sessions)</w:t>
            </w:r>
          </w:p>
        </w:tc>
        <w:tc>
          <w:tcPr/>
          <w:p>
            <w:pPr>
              <w:pStyle w:val="Compact"/>
              <w:jc w:val="left"/>
            </w:pPr>
            <w:r>
              <w:t xml:space="preserve">Consultation Minutes &amp; Advisory Notes</w:t>
            </w:r>
          </w:p>
        </w:tc>
        <w:tc>
          <w:tcPr/>
          <w:p>
            <w:pPr>
              <w:pStyle w:val="Compact"/>
              <w:jc w:val="left"/>
            </w:pPr>
            <w:r>
              <w:t xml:space="preserve">July 2025 – June 2026</w:t>
            </w:r>
          </w:p>
        </w:tc>
        <w:tc>
          <w:tcPr/>
          <w:p>
            <w:pPr>
              <w:pStyle w:val="Compact"/>
              <w:jc w:val="left"/>
            </w:pPr>
            <w:r>
              <w:t xml:space="preserve">48,000.00</w:t>
            </w:r>
          </w:p>
        </w:tc>
        <w:tc>
          <w:tcPr/>
          <w:p>
            <w:pPr>
              <w:pStyle w:val="Compact"/>
              <w:jc w:val="left"/>
            </w:pPr>
            <w:r>
              <w:t xml:space="preserve">Per Year</w:t>
            </w:r>
          </w:p>
        </w:tc>
      </w:tr>
      <w:tr>
        <w:tc>
          <w:tcPr>
            <w:gridSpan w:val="4"/>
          </w:tcPr>
          <w:p>
            <w:pPr>
              <w:pStyle w:val="Compact"/>
              <w:jc w:val="left"/>
            </w:pPr>
            <w:r>
              <w:rPr>
                <w:bCs/>
                <w:b/>
              </w:rPr>
              <w:t xml:space="preserve">TOTAL PURCHASE ORDER VALUE (QAR)</w:t>
            </w:r>
          </w:p>
        </w:tc>
        <w:tc>
          <w:tcPr/>
          <w:p>
            <w:pPr>
              <w:pStyle w:val="Compact"/>
              <w:jc w:val="left"/>
            </w:pPr>
            <w:r>
              <w:rPr>
                <w:bCs/>
                <w:b/>
              </w:rPr>
              <w:t xml:space="preserve">523,000.00</w:t>
            </w:r>
          </w:p>
        </w:tc>
        <w:tc>
          <w:tcPr/>
          <w:p>
            <w:pPr>
              <w:pStyle w:val="Compact"/>
            </w:pPr>
          </w:p>
        </w:tc>
      </w:tr>
    </w:tbl>
    <w:p>
      <w:pPr>
        <w:pStyle w:val="BodyText"/>
      </w:pPr>
      <w:r>
        <w:t xml:space="preserve">2.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Qatar. Any disputes arising from this Purchase Order shall be subject to the exclusive jurisdiction of the competent courts in Doha, Qatar, or alternatively resolved through arbitration at the Qatar International Arbitration Centre (QIAC) in Doha.</w:t>
      </w:r>
    </w:p>
    <w:p>
      <w:pPr>
        <w:numPr>
          <w:ilvl w:val="0"/>
          <w:numId w:val="1001"/>
        </w:numPr>
        <w:pStyle w:val="Compact"/>
      </w:pPr>
      <w:r>
        <w:rPr>
          <w:bCs/>
          <w:b/>
        </w:rPr>
        <w:t xml:space="preserve">Qualifications of the Auditor:</w:t>
      </w:r>
      <w:r>
        <w:t xml:space="preserve"> </w:t>
      </w:r>
      <w:r>
        <w:t xml:space="preserve">The Auditor engaged under this Purchase Order must be a licensed firm registered with the Qatar Company and Securities Bureau (QCSB) and must assign a lead Auditor who holds a valid Chartered Accountant (CA) or Certified Public Accountant (CPA) designation recognized in Qatar. The Auditor’s team must include a minimum of five (5) qualified professionals based in or regularly operating from Doha.</w:t>
      </w:r>
    </w:p>
    <w:p>
      <w:pPr>
        <w:numPr>
          <w:ilvl w:val="0"/>
          <w:numId w:val="1001"/>
        </w:numPr>
        <w:pStyle w:val="Compact"/>
      </w:pPr>
      <w:r>
        <w:rPr>
          <w:bCs/>
          <w:b/>
        </w:rPr>
        <w:t xml:space="preserve">Confidentiality and Data Protection:</w:t>
      </w:r>
      <w:r>
        <w:t xml:space="preserve"> </w:t>
      </w:r>
      <w:r>
        <w:t xml:space="preserve">The Auditor shall maintain strict confidentiality of all financial records, proprietary data, and business information of the Buyer. All data handling must comply with the Qatar Personal Data Protection Law (Law No. 30 of 2022). No information shall be disclosed to third parties without prior written consent from the Buyer, except as required by QCB or QFCRA regulatory reporting obligations in Doha.</w:t>
      </w:r>
    </w:p>
    <w:p>
      <w:pPr>
        <w:numPr>
          <w:ilvl w:val="0"/>
          <w:numId w:val="1001"/>
        </w:numPr>
        <w:pStyle w:val="Compact"/>
      </w:pPr>
      <w:r>
        <w:rPr>
          <w:bCs/>
          <w:b/>
        </w:rPr>
        <w:t xml:space="preserve">Payment Schedule:</w:t>
      </w:r>
      <w:r>
        <w:t xml:space="preserve"> </w:t>
      </w:r>
      <w:r>
        <w:t xml:space="preserve">Payment shall be made in three (3) installments: 40% upon commencement of the statutory audit, 40% upon delivery of the Internal Audit Report, and 20% upon final acceptance of all deliverables. All invoices must be submitted to the Buyer’s finance department in Doha and shall be paid within thirty (30) calendar days of receipt and approval.</w:t>
      </w:r>
    </w:p>
    <w:p>
      <w:pPr>
        <w:numPr>
          <w:ilvl w:val="0"/>
          <w:numId w:val="1001"/>
        </w:numPr>
        <w:pStyle w:val="Compact"/>
      </w:pPr>
      <w:r>
        <w:rPr>
          <w:bCs/>
          <w:b/>
        </w:rPr>
        <w:t xml:space="preserve">Performance and Penalties:</w:t>
      </w:r>
      <w:r>
        <w:t xml:space="preserve"> </w:t>
      </w:r>
      <w:r>
        <w:t xml:space="preserve">Failure by the Auditor to deliver any milestone within the stipulated timeline shall result in a penalty of 0.5% of the applicable line-item value per day of delay, capped at 10% of that line item. Delays exceeding fifteen (15) business days shall entitle the Buyer to terminate this Purchase Order without further liability.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Doha, natural disasters, or regulatory suspensions issued by Qatari authorities.</w:t>
      </w:r>
    </w:p>
    <w:p>
      <w:pPr>
        <w:numPr>
          <w:ilvl w:val="0"/>
          <w:numId w:val="1001"/>
        </w:numPr>
        <w:pStyle w:val="Compact"/>
      </w:pPr>
      <w:r>
        <w:rPr>
          <w:bCs/>
          <w:b/>
        </w:rPr>
        <w:t xml:space="preserve">Intellectual Property:</w:t>
      </w:r>
      <w:r>
        <w:t xml:space="preserve"> </w:t>
      </w:r>
      <w:r>
        <w:t xml:space="preserve">All reports, findings, and work product generated by the Auditor under this Purchase Order shall become the exclusive property of the Buyer upon full payment. The Auditor retains the right to use anonymized, aggregated data for internal quality assurance purposes only.</w:t>
      </w:r>
    </w:p>
    <w:p>
      <w:pPr>
        <w:numPr>
          <w:ilvl w:val="0"/>
          <w:numId w:val="1001"/>
        </w:numPr>
        <w:pStyle w:val="Compact"/>
      </w:pPr>
      <w:r>
        <w:rPr>
          <w:bCs/>
          <w:b/>
        </w:rPr>
        <w:t xml:space="preserve">Amendments:</w:t>
      </w:r>
      <w:r>
        <w:t xml:space="preserve"> </w:t>
      </w:r>
      <w:r>
        <w:t xml:space="preserve">Any modification to this Purchase Order, including changes to scope, timeline, or value, must be documented in a written amendment signed by authorized representatives of both parties in Doha.</w:t>
      </w:r>
    </w:p>
    <w:p>
      <w:pPr>
        <w:pStyle w:val="FirstParagraph"/>
      </w:pPr>
      <w:r>
        <w:t xml:space="preserve">3. APPROVAL AND AUTHORIZATION</w:t>
      </w:r>
    </w:p>
    <w:p>
      <w:pPr>
        <w:pStyle w:val="BodyText"/>
      </w:pPr>
      <w:r>
        <w:t xml:space="preserve">This Purchase Order has been reviewed and approved by the undersigned authorized representatives of both parties. By signing below, the Buyer confirms its commitment to procure the Auditor services as specified, and the Auditor confirms its acceptance of the scope, terms, and conditions outlined in this Purchase Order for execution in Doha, Qatar.</w:t>
      </w:r>
    </w:p>
    <w:p>
      <w:pPr>
        <w:pStyle w:val="BodyText"/>
      </w:pPr>
      <w:r>
        <w:rPr>
          <w:bCs/>
          <w:b/>
        </w:rPr>
        <w:t xml:space="preserve">For and on behalf of the BUYER:</w:t>
      </w:r>
      <w:r>
        <w:br/>
      </w:r>
      <w:r>
        <w:t xml:space="preserve">Al Rayyan Financial Group W.L.L.</w:t>
      </w:r>
    </w:p>
    <w:p>
      <w:pPr>
        <w:pStyle w:val="BodyText"/>
      </w:pPr>
      <w:r>
        <w:rPr>
          <w:bCs/>
          <w:b/>
        </w:rPr>
        <w:t xml:space="preserve">Name:</w:t>
      </w:r>
      <w:r>
        <w:t xml:space="preserve"> </w:t>
      </w:r>
      <w:r>
        <w:t xml:space="preserve">Khalid bin Saeed Al-Mansoori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AUDITOR / SUPPLIER:</w:t>
      </w:r>
      <w:r>
        <w:br/>
      </w:r>
      <w:r>
        <w:t xml:space="preserve">Al Jazeera Audit &amp; Assurance Partners LLC</w:t>
      </w:r>
    </w:p>
    <w:p>
      <w:pPr>
        <w:pStyle w:val="BodyText"/>
      </w:pPr>
      <w:r>
        <w:rPr>
          <w:bCs/>
          <w:b/>
        </w:rPr>
        <w:t xml:space="preserve">Name:</w:t>
      </w:r>
      <w:r>
        <w:t xml:space="preserve"> </w:t>
      </w:r>
      <w:r>
        <w:t xml:space="preserve">Fatima Al-Thani, CPA (Qatar)</w:t>
      </w:r>
      <w:r>
        <w:br/>
      </w:r>
      <w:r>
        <w:rPr>
          <w:bCs/>
          <w:b/>
        </w:rPr>
        <w:t xml:space="preserve">Title:</w:t>
      </w:r>
      <w:r>
        <w:t xml:space="preserve"> </w:t>
      </w:r>
      <w:r>
        <w:t xml:space="preserve">Managing Partner &amp; Lead Auditor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(PO-QA-2025-00487) is a legally binding procurement document issued in Doha, State of Qatar. It is valid for thirty (30) days from the date of issue. Unauthorized reproduction or distribution of this Purchase Order is prohibited. For inquiries, contact the Procurement Department at Al Rayyan Financial Group W.L.L., Doha Financial Centre, Doha, Qatar. © 2025 Al Rayyan Financial Group W.L.L.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Qatar Doha</dc:title>
  <dc:creator/>
  <dc:language>en</dc:language>
  <cp:keywords/>
  <dcterms:created xsi:type="dcterms:W3CDTF">2026-10-10T01:52:26Z</dcterms:created>
  <dcterms:modified xsi:type="dcterms:W3CDTF">2026-10-10T01:52:26Z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