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Audit Services — Russia Moscow</w:t>
      </w:r>
    </w:p>
    <w:p>
      <w:pPr>
        <w:pStyle w:val="BodyText"/>
      </w:pPr>
      <w:r>
        <w:t xml:space="preserve">Document Reference: PO-RM-2025-04871</w:t>
      </w:r>
    </w:p>
    <w:bookmarkEnd w:id="20"/>
    <w:p>
      <w:pPr>
        <w:pStyle w:val="BodyText"/>
      </w:pPr>
      <w:r>
        <w:rPr>
          <w:bCs/>
          <w:b/>
        </w:rPr>
        <w:t xml:space="preserve">Purchase Order No.:</w:t>
      </w:r>
      <w:r>
        <w:t xml:space="preserve"> </w:t>
      </w:r>
      <w:r>
        <w:t xml:space="preserve">PO-RM-2025-04871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Russia</w:t>
      </w:r>
      <w:r>
        <w:br/>
      </w:r>
      <w:r>
        <w:rPr>
          <w:bCs/>
          <w:b/>
        </w:rPr>
        <w:t xml:space="preserve">City of Execution:</w:t>
      </w:r>
      <w:r>
        <w:t xml:space="preserve"> </w:t>
      </w:r>
      <w:r>
        <w:t xml:space="preserve">Moscow</w:t>
      </w:r>
      <w:r>
        <w:br/>
      </w:r>
      <w:r>
        <w:rPr>
          <w:bCs/>
          <w:b/>
        </w:rPr>
        <w:t xml:space="preserve">Currency:</w:t>
      </w:r>
      <w:r>
        <w:t xml:space="preserve"> </w:t>
      </w:r>
      <w:r>
        <w:t xml:space="preserve">Russian Ruble (RUB)</w:t>
      </w:r>
    </w:p>
    <w:p>
      <w:pPr>
        <w:pStyle w:val="BodyText"/>
      </w:pPr>
      <w:r>
        <w:t xml:space="preserve">1. Purchasing Entity (Buyer)</w:t>
      </w:r>
    </w:p>
    <w:p>
      <w:pPr>
        <w:pStyle w:val="BodyText"/>
      </w:pPr>
      <w:r>
        <w:rPr>
          <w:bCs/>
          <w:b/>
        </w:rPr>
        <w:t xml:space="preserve">Company Name:</w:t>
      </w:r>
      <w:r>
        <w:t xml:space="preserve"> </w:t>
      </w:r>
      <w:r>
        <w:t xml:space="preserve">Vostok Industrial Holdings JSC</w:t>
      </w:r>
      <w:r>
        <w:br/>
      </w:r>
      <w:r>
        <w:rPr>
          <w:bCs/>
          <w:b/>
        </w:rPr>
        <w:t xml:space="preserve">Registered Address:</w:t>
      </w:r>
      <w:r>
        <w:t xml:space="preserve"> </w:t>
      </w:r>
      <w:r>
        <w:t xml:space="preserve">12 Tverskaya Street, Building 3, Floor 18, Moscow, 125009, Russian Federation</w:t>
      </w:r>
      <w:r>
        <w:br/>
      </w:r>
      <w:r>
        <w:rPr>
          <w:bCs/>
          <w:b/>
        </w:rPr>
        <w:t xml:space="preserve">INN / KPP:</w:t>
      </w:r>
      <w:r>
        <w:t xml:space="preserve"> </w:t>
      </w:r>
      <w:r>
        <w:t xml:space="preserve">7706583214 / 770601001</w:t>
      </w:r>
      <w:r>
        <w:br/>
      </w:r>
      <w:r>
        <w:rPr>
          <w:bCs/>
          <w:b/>
        </w:rPr>
        <w:t xml:space="preserve">Authorized Representative:</w:t>
      </w:r>
      <w:r>
        <w:t xml:space="preserve"> </w:t>
      </w:r>
      <w:r>
        <w:t xml:space="preserve">Mr. Dmitry A. Volkov, Chief Financial Officer</w:t>
      </w:r>
      <w:r>
        <w:br/>
      </w:r>
      <w:r>
        <w:rPr>
          <w:bCs/>
          <w:b/>
        </w:rPr>
        <w:t xml:space="preserve">Contact:</w:t>
      </w:r>
      <w:r>
        <w:t xml:space="preserve"> </w:t>
      </w:r>
      <w:r>
        <w:t xml:space="preserve">d.volkov@vostok-industrial.ru | +7 (495) 620-4417</w:t>
      </w:r>
    </w:p>
    <w:p>
      <w:pPr>
        <w:pStyle w:val="BodyText"/>
      </w:pPr>
      <w:r>
        <w:t xml:space="preserve">2. Service Provider (Vendor / Auditor)</w:t>
      </w:r>
    </w:p>
    <w:p>
      <w:pPr>
        <w:pStyle w:val="BodyText"/>
      </w:pPr>
      <w:r>
        <w:rPr>
          <w:bCs/>
          <w:b/>
        </w:rPr>
        <w:t xml:space="preserve">Firm Name:</w:t>
      </w:r>
      <w:r>
        <w:t xml:space="preserve"> </w:t>
      </w:r>
      <w:r>
        <w:t xml:space="preserve">Deloitte Audit &amp; Advisory, Moscow Office</w:t>
      </w:r>
      <w:r>
        <w:br/>
      </w:r>
      <w:r>
        <w:rPr>
          <w:bCs/>
          <w:b/>
        </w:rPr>
        <w:t xml:space="preserve">Registered Address:</w:t>
      </w:r>
      <w:r>
        <w:t xml:space="preserve"> </w:t>
      </w:r>
      <w:r>
        <w:t xml:space="preserve">21 Leningradsky Prospekt, Moscow, 125212, Russian Federation</w:t>
      </w:r>
      <w:r>
        <w:br/>
      </w:r>
      <w:r>
        <w:rPr>
          <w:bCs/>
          <w:b/>
        </w:rPr>
        <w:t xml:space="preserve">INN / KPP:</w:t>
      </w:r>
      <w:r>
        <w:t xml:space="preserve"> </w:t>
      </w:r>
      <w:r>
        <w:t xml:space="preserve">7704215638 / 770401001</w:t>
      </w:r>
      <w:r>
        <w:br/>
      </w:r>
      <w:r>
        <w:rPr>
          <w:bCs/>
          <w:b/>
        </w:rPr>
        <w:t xml:space="preserve">Lead Auditor:</w:t>
      </w:r>
      <w:r>
        <w:t xml:space="preserve"> </w:t>
      </w:r>
      <w:r>
        <w:t xml:space="preserve">Ms. Elena S. Petrova, Certified Public Accountant (CPA), Chartered Auditor</w:t>
      </w:r>
      <w:r>
        <w:br/>
      </w:r>
      <w:r>
        <w:rPr>
          <w:bCs/>
          <w:b/>
        </w:rPr>
        <w:t xml:space="preserve">Contact:</w:t>
      </w:r>
      <w:r>
        <w:t xml:space="preserve"> </w:t>
      </w:r>
      <w:r>
        <w:t xml:space="preserve">e.petrova@deloitte-ru.com | +7 (495) 988-2200</w:t>
      </w:r>
      <w:r>
        <w:br/>
      </w:r>
      <w:r>
        <w:rPr>
          <w:bCs/>
          <w:b/>
        </w:rPr>
        <w:t xml:space="preserve">License No.:</w:t>
      </w:r>
      <w:r>
        <w:t xml:space="preserve"> </w:t>
      </w:r>
      <w:r>
        <w:t xml:space="preserve">RA-000123 (Issued by the Federal Tax Service of Russia)</w:t>
      </w:r>
    </w:p>
    <w:p>
      <w:pPr>
        <w:pStyle w:val="BodyText"/>
      </w:pPr>
      <w:r>
        <w:t xml:space="preserve">3. Scope of Purchase Order — Auditor Engagement</w:t>
      </w:r>
    </w:p>
    <w:p>
      <w:pPr>
        <w:pStyle w:val="BodyText"/>
      </w:pPr>
      <w:r>
        <w:t xml:space="preserve">This Purchase Order is issued by Vostok Industrial Holdings JSC to formally engage the services of a qualified</w:t>
      </w:r>
      <w:r>
        <w:t xml:space="preserve"> </w:t>
      </w:r>
      <w:r>
        <w:t xml:space="preserve">Auditor</w:t>
      </w:r>
      <w:r>
        <w:t xml:space="preserve"> </w:t>
      </w:r>
      <w:r>
        <w:t xml:space="preserve">for the comprehensive financial and operational audit of all business units operating within the city of</w:t>
      </w:r>
      <w:r>
        <w:t xml:space="preserve"> </w:t>
      </w:r>
      <w:r>
        <w:t xml:space="preserve">Moscow</w:t>
      </w:r>
      <w:r>
        <w:t xml:space="preserve">,</w:t>
      </w:r>
      <w:r>
        <w:t xml:space="preserve"> </w:t>
      </w:r>
      <w:r>
        <w:t xml:space="preserve">Russia</w:t>
      </w:r>
      <w:r>
        <w:t xml:space="preserve">. The</w:t>
      </w:r>
      <w:r>
        <w:t xml:space="preserve"> </w:t>
      </w:r>
      <w:r>
        <w:t xml:space="preserve">Auditor</w:t>
      </w:r>
      <w:r>
        <w:t xml:space="preserve"> </w:t>
      </w:r>
      <w:r>
        <w:t xml:space="preserve">shall perform statutory, internal, and compliance audits in strict accordance with the Federal Law of the Russian Federation No. 307-FZ "On Audit Activities" and the International Standards on Auditing (ISA) as adopted by the Russian Federation. The scope of this</w:t>
      </w:r>
      <w:r>
        <w:t xml:space="preserve"> </w:t>
      </w:r>
      <w:r>
        <w:t xml:space="preserve">Purchase Order</w:t>
      </w:r>
      <w:r>
        <w:t xml:space="preserve"> </w:t>
      </w:r>
      <w:r>
        <w:t xml:space="preserve">encompasses the full fiscal year 2024 and the first quarter of 2025, covering all subsidiaries, branches, and joint ventures physically located in</w:t>
      </w:r>
      <w:r>
        <w:t xml:space="preserve"> </w:t>
      </w:r>
      <w:r>
        <w:t xml:space="preserve">Moscow</w:t>
      </w:r>
      <w:r>
        <w:t xml:space="preserve"> </w:t>
      </w:r>
      <w:r>
        <w:t xml:space="preserve">and its metropolitan administrative district.</w:t>
      </w:r>
    </w:p>
    <w:p>
      <w:pPr>
        <w:pStyle w:val="BodyText"/>
      </w:pPr>
      <w:r>
        <w:t xml:space="preserve">4. Line Items — Services Rendered by the Auditor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Period / Location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Statutory Financial Audit of Annual Accounts (FY 2024) — Moscow Headquarters and all registered branches in Moscow City</w:t>
            </w:r>
          </w:p>
        </w:tc>
        <w:tc>
          <w:tcPr/>
          <w:p>
            <w:pPr>
              <w:pStyle w:val="Compact"/>
              <w:jc w:val="left"/>
            </w:pPr>
            <w:r>
              <w:t xml:space="preserve">Jan 2025 – Mar 2025, Moscow</w:t>
            </w:r>
          </w:p>
        </w:tc>
        <w:tc>
          <w:tcPr/>
          <w:p>
            <w:pPr>
              <w:pStyle w:val="Compact"/>
              <w:jc w:val="left"/>
            </w:pPr>
            <w:r>
              <w:t xml:space="preserve">1 engagement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Internal Control and Risk Assessment Audit — Operational units in Central and Southern Administrative Districts of Moscow</w:t>
            </w:r>
          </w:p>
        </w:tc>
        <w:tc>
          <w:tcPr/>
          <w:p>
            <w:pPr>
              <w:pStyle w:val="Compact"/>
              <w:jc w:val="left"/>
            </w:pPr>
            <w:r>
              <w:t xml:space="preserve">Apr 2025 – Jun 2025, Moscow</w:t>
            </w:r>
          </w:p>
        </w:tc>
        <w:tc>
          <w:tcPr/>
          <w:p>
            <w:pPr>
              <w:pStyle w:val="Compact"/>
              <w:jc w:val="left"/>
            </w:pPr>
            <w:r>
              <w:t xml:space="preserve">1 engagement</w:t>
            </w:r>
          </w:p>
        </w:tc>
        <w:tc>
          <w:tcPr/>
          <w:p>
            <w:pPr>
              <w:pStyle w:val="Compact"/>
              <w:jc w:val="left"/>
            </w:pPr>
            <w:r>
              <w:t xml:space="preserve">2,300,000.00</w:t>
            </w:r>
          </w:p>
        </w:tc>
        <w:tc>
          <w:tcPr/>
          <w:p>
            <w:pPr>
              <w:pStyle w:val="Compact"/>
              <w:jc w:val="left"/>
            </w:pPr>
            <w:r>
              <w:t xml:space="preserve">2,300,000.00</w:t>
            </w:r>
          </w:p>
        </w:tc>
      </w:tr>
      <w:tr>
        <w:tc>
          <w:tcPr/>
          <w:p>
            <w:pPr>
              <w:pStyle w:val="Compact"/>
              <w:jc w:val="left"/>
            </w:pPr>
            <w:r>
              <w:t xml:space="preserve">3</w:t>
            </w:r>
          </w:p>
        </w:tc>
        <w:tc>
          <w:tcPr/>
          <w:p>
            <w:pPr>
              <w:pStyle w:val="Compact"/>
              <w:jc w:val="left"/>
            </w:pPr>
            <w:r>
              <w:t xml:space="preserve">Tax Compliance Audit — Verification of VAT, Corporate Income Tax, and Property Tax filings for all Moscow-registered entities</w:t>
            </w:r>
          </w:p>
        </w:tc>
        <w:tc>
          <w:tcPr/>
          <w:p>
            <w:pPr>
              <w:pStyle w:val="Compact"/>
              <w:jc w:val="left"/>
            </w:pPr>
            <w:r>
              <w:t xml:space="preserve">May 2025 – Jul 2025, Moscow</w:t>
            </w:r>
          </w:p>
        </w:tc>
        <w:tc>
          <w:tcPr/>
          <w:p>
            <w:pPr>
              <w:pStyle w:val="Compact"/>
              <w:jc w:val="left"/>
            </w:pPr>
            <w:r>
              <w:t xml:space="preserve">1 engagement</w:t>
            </w:r>
          </w:p>
        </w:tc>
        <w:tc>
          <w:tcPr/>
          <w:p>
            <w:pPr>
              <w:pStyle w:val="Compact"/>
              <w:jc w:val="left"/>
            </w:pPr>
            <w:r>
              <w:t xml:space="preserve">1,750,000.00</w:t>
            </w:r>
          </w:p>
        </w:tc>
        <w:tc>
          <w:tcPr/>
          <w:p>
            <w:pPr>
              <w:pStyle w:val="Compact"/>
              <w:jc w:val="left"/>
            </w:pPr>
            <w:r>
              <w:t xml:space="preserve">1,750,000.00</w:t>
            </w:r>
          </w:p>
        </w:tc>
      </w:tr>
      <w:tr>
        <w:tc>
          <w:tcPr/>
          <w:p>
            <w:pPr>
              <w:pStyle w:val="Compact"/>
              <w:jc w:val="left"/>
            </w:pPr>
            <w:r>
              <w:t xml:space="preserve">4</w:t>
            </w:r>
          </w:p>
        </w:tc>
        <w:tc>
          <w:tcPr/>
          <w:p>
            <w:pPr>
              <w:pStyle w:val="Compact"/>
              <w:jc w:val="left"/>
            </w:pPr>
            <w:r>
              <w:t xml:space="preserve">Forensic Audit — Investigation of irregular transactions identified in Q1 2025 at the Moscow warehouse and logistics division</w:t>
            </w:r>
          </w:p>
        </w:tc>
        <w:tc>
          <w:tcPr/>
          <w:p>
            <w:pPr>
              <w:pStyle w:val="Compact"/>
              <w:jc w:val="left"/>
            </w:pPr>
            <w:r>
              <w:t xml:space="preserve">Jun 2025 – Aug 2025, Moscow</w:t>
            </w:r>
          </w:p>
        </w:tc>
        <w:tc>
          <w:tcPr/>
          <w:p>
            <w:pPr>
              <w:pStyle w:val="Compact"/>
              <w:jc w:val="left"/>
            </w:pPr>
            <w:r>
              <w:t xml:space="preserve">1 engagement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5</w:t>
            </w:r>
          </w:p>
        </w:tc>
        <w:tc>
          <w:tcPr/>
          <w:p>
            <w:pPr>
              <w:pStyle w:val="Compact"/>
              <w:jc w:val="left"/>
            </w:pPr>
            <w:r>
              <w:t xml:space="preserve">IT Systems and Data Integrity Audit — Review of ERP, accounting software, and digital record-keeping systems deployed across Moscow offices</w:t>
            </w:r>
          </w:p>
        </w:tc>
        <w:tc>
          <w:tcPr/>
          <w:p>
            <w:pPr>
              <w:pStyle w:val="Compact"/>
              <w:jc w:val="left"/>
            </w:pPr>
            <w:r>
              <w:t xml:space="preserve">Jul 2025 – Sep 2025, Moscow</w:t>
            </w:r>
          </w:p>
        </w:tc>
        <w:tc>
          <w:tcPr/>
          <w:p>
            <w:pPr>
              <w:pStyle w:val="Compact"/>
              <w:jc w:val="left"/>
            </w:pPr>
            <w:r>
              <w:t xml:space="preserve">1 engagement</w:t>
            </w:r>
          </w:p>
        </w:tc>
        <w:tc>
          <w:tcPr/>
          <w:p>
            <w:pPr>
              <w:pStyle w:val="Compact"/>
              <w:jc w:val="left"/>
            </w:pPr>
            <w:r>
              <w:t xml:space="preserve">1,900,000.00</w:t>
            </w:r>
          </w:p>
        </w:tc>
        <w:tc>
          <w:tcPr/>
          <w:p>
            <w:pPr>
              <w:pStyle w:val="Compact"/>
              <w:jc w:val="left"/>
            </w:pPr>
            <w:r>
              <w:t xml:space="preserve">1,900,000.00</w:t>
            </w:r>
          </w:p>
        </w:tc>
      </w:tr>
      <w:tr>
        <w:tc>
          <w:tcPr/>
          <w:p>
            <w:pPr>
              <w:pStyle w:val="Compact"/>
              <w:jc w:val="left"/>
            </w:pPr>
            <w:r>
              <w:t xml:space="preserve">6</w:t>
            </w:r>
          </w:p>
        </w:tc>
        <w:tc>
          <w:tcPr/>
          <w:p>
            <w:pPr>
              <w:pStyle w:val="Compact"/>
              <w:jc w:val="left"/>
            </w:pPr>
            <w:r>
              <w:t xml:space="preserve">Regulatory and Anti-Money-Laundering (AML) Compliance Audit per Central Bank of Russia requirements — Moscow operations</w:t>
            </w:r>
          </w:p>
        </w:tc>
        <w:tc>
          <w:tcPr/>
          <w:p>
            <w:pPr>
              <w:pStyle w:val="Compact"/>
              <w:jc w:val="left"/>
            </w:pPr>
            <w:r>
              <w:t xml:space="preserve">Aug 2025 – Oct 2025, Moscow</w:t>
            </w:r>
          </w:p>
        </w:tc>
        <w:tc>
          <w:tcPr/>
          <w:p>
            <w:pPr>
              <w:pStyle w:val="Compact"/>
              <w:jc w:val="left"/>
            </w:pPr>
            <w:r>
              <w:t xml:space="preserve">1 engagement</w:t>
            </w:r>
          </w:p>
        </w:tc>
        <w:tc>
          <w:tcPr/>
          <w:p>
            <w:pPr>
              <w:pStyle w:val="Compact"/>
              <w:jc w:val="left"/>
            </w:pPr>
            <w:r>
              <w:t xml:space="preserve">1,450,000.00</w:t>
            </w:r>
          </w:p>
        </w:tc>
        <w:tc>
          <w:tcPr/>
          <w:p>
            <w:pPr>
              <w:pStyle w:val="Compact"/>
              <w:jc w:val="left"/>
            </w:pPr>
            <w:r>
              <w:t xml:space="preserve">1,450,000.00</w:t>
            </w:r>
          </w:p>
        </w:tc>
      </w:tr>
      <w:tr>
        <w:tc>
          <w:tcPr>
            <w:gridSpan w:val="5"/>
          </w:tcPr>
          <w:p>
            <w:pPr>
              <w:pStyle w:val="Compact"/>
              <w:jc w:val="right"/>
            </w:pPr>
            <w:r>
              <w:t xml:space="preserve">TOTAL AMOUNT UNDER THIS PURCHASE ORDER:</w:t>
            </w:r>
          </w:p>
        </w:tc>
        <w:tc>
          <w:tcPr/>
          <w:p>
            <w:pPr>
              <w:pStyle w:val="Compact"/>
              <w:jc w:val="left"/>
            </w:pPr>
            <w:r>
              <w:t xml:space="preserve">15,450,000.00 RUB</w:t>
            </w:r>
          </w:p>
        </w:tc>
      </w:tr>
    </w:tbl>
    <w:p>
      <w:pPr>
        <w:pStyle w:val="BodyText"/>
      </w:pPr>
      <w:r>
        <w:t xml:space="preserve">5. Terms and Conditions of the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and applicable federal legislation of Russia. All disputes arising from this Purchase Order shall be resolved by the Arbitration Court of the City of Moscow, Russian Federation.</w:t>
      </w:r>
    </w:p>
    <w:p>
      <w:pPr>
        <w:numPr>
          <w:ilvl w:val="0"/>
          <w:numId w:val="1001"/>
        </w:numPr>
        <w:pStyle w:val="Compact"/>
      </w:pPr>
      <w:r>
        <w:rPr>
          <w:bCs/>
          <w:b/>
        </w:rPr>
        <w:t xml:space="preserve">Payment Terms:</w:t>
      </w:r>
      <w:r>
        <w:t xml:space="preserve"> </w:t>
      </w:r>
      <w:r>
        <w:t xml:space="preserve">Payment shall be made in Russian Rubles (RUB) via bank transfer to the Auditor's designated account within 30 calendar days of receipt of a valid invoice and the corresponding audit report. A 10% advance payment is due upon execution of this Purchase Order. The remaining balance shall be paid in three equal installments aligned with the completion of Line Items 1–2, 3–4, and 5–6 respectively.</w:t>
      </w:r>
    </w:p>
    <w:p>
      <w:pPr>
        <w:numPr>
          <w:ilvl w:val="0"/>
          <w:numId w:val="1001"/>
        </w:numPr>
        <w:pStyle w:val="Compact"/>
      </w:pPr>
      <w:r>
        <w:rPr>
          <w:bCs/>
          <w:b/>
        </w:rPr>
        <w:t xml:space="preserve">Delivery of Audit Reports:</w:t>
      </w:r>
      <w:r>
        <w:t xml:space="preserve"> </w:t>
      </w:r>
      <w:r>
        <w:t xml:space="preserve">The Auditor shall deliver all interim and final audit reports in both hard copy (three (3) signed originals) and electronic PDF format to the Purchasing Entity's registered office at 12 Tverskaya Street, Moscow, 125009, Russia. Reports must be submitted within 15 business days of the completion of each respective audit phase.</w:t>
      </w:r>
    </w:p>
    <w:p>
      <w:pPr>
        <w:numPr>
          <w:ilvl w:val="0"/>
          <w:numId w:val="1001"/>
        </w:numPr>
        <w:pStyle w:val="Compact"/>
      </w:pPr>
      <w:r>
        <w:rPr>
          <w:bCs/>
          <w:b/>
        </w:rPr>
        <w:t xml:space="preserve">Confidentiality:</w:t>
      </w:r>
      <w:r>
        <w:t xml:space="preserve"> </w:t>
      </w:r>
      <w:r>
        <w:t xml:space="preserve">The Auditor acknowledges that all financial records, trade secrets, and proprietary data of Vostok Industrial Holdings JSC are strictly confidential. The Auditor shall comply with Federal Law No. 152-FZ "On Personal Data" and shall not disclose any information obtained during the audit to any third party in Russia or abroad without prior written consent of the Purchasing Entity.</w:t>
      </w:r>
    </w:p>
    <w:p>
      <w:pPr>
        <w:numPr>
          <w:ilvl w:val="0"/>
          <w:numId w:val="1001"/>
        </w:numPr>
        <w:pStyle w:val="Compact"/>
      </w:pPr>
      <w:r>
        <w:rPr>
          <w:bCs/>
          <w:b/>
        </w:rPr>
        <w:t xml:space="preserve">Independence and Professional Standards:</w:t>
      </w:r>
      <w:r>
        <w:t xml:space="preserve"> </w:t>
      </w:r>
      <w:r>
        <w:t xml:space="preserve">The Auditor warrants that the engagement team assigned to this Purchase Order is fully independent of the Purchasing Entity and shall perform all audit procedures in accordance with the Russian National Standards on Auditing (RAS) and International Standards on Auditing (ISA). The Auditor shall maintain professional skepticism throughout the engagement in Moscow.</w:t>
      </w:r>
    </w:p>
    <w:p>
      <w:pPr>
        <w:numPr>
          <w:ilvl w:val="0"/>
          <w:numId w:val="1001"/>
        </w:numPr>
        <w:pStyle w:val="Compact"/>
      </w:pPr>
      <w:r>
        <w:rPr>
          <w:bCs/>
          <w:b/>
        </w:rPr>
        <w:t xml:space="preserve">Access and Cooperation:</w:t>
      </w:r>
      <w:r>
        <w:t xml:space="preserve"> </w:t>
      </w:r>
      <w:r>
        <w:t xml:space="preserve">The Purchasing Entity shall grant the Auditor full and unrestricted access to all books, records, ledgers, bank statements, contracts, and physical assets located in Moscow, Russia, during normal business hours (Monday through Friday, 09:00–18:00 Moscow Time, MSK).</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Auditor shall be compensated for all work completed and documented up to the date of termination, as evidenced by a detailed timesheet approved by the Purchasing Entity's CFO.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force majeure events as defined under Article 401 of the Civil Code of the Russian Federation, including but not limited to acts of government, natural disasters, or pandemics affecting the Moscow region.</w:t>
      </w:r>
    </w:p>
    <w:p>
      <w:pPr>
        <w:numPr>
          <w:ilvl w:val="0"/>
          <w:numId w:val="1001"/>
        </w:numPr>
        <w:pStyle w:val="Compact"/>
      </w:pPr>
      <w:r>
        <w:rPr>
          <w:bCs/>
          <w:b/>
        </w:rPr>
        <w:t xml:space="preserve">Warranty of Services:</w:t>
      </w:r>
      <w:r>
        <w:t xml:space="preserve"> </w:t>
      </w:r>
      <w:r>
        <w:t xml:space="preserve">The Auditor warrants that all services rendered under this Purchase Order shall be performed with the degree of skill, care, and diligence expected of a reasonably competent certified auditor operating in Moscow, Russia. Any material misstatement or omission in the final audit report attributable to the Auditor's negligence shall be rectified at no additional cost to the Purchasing Entity.</w:t>
      </w:r>
    </w:p>
    <w:p>
      <w:pPr>
        <w:numPr>
          <w:ilvl w:val="0"/>
          <w:numId w:val="1001"/>
        </w:numPr>
        <w:pStyle w:val="Compact"/>
      </w:pPr>
      <w:r>
        <w:rPr>
          <w:bCs/>
          <w:b/>
        </w:rPr>
        <w:t xml:space="preserve">Anti-Corruption:</w:t>
      </w:r>
      <w:r>
        <w:t xml:space="preserve"> </w:t>
      </w:r>
      <w:r>
        <w:t xml:space="preserve">The Auditor certifies that no part of the fees specified in this Purchase Order shall be used to offer, give, or receive any bribe, kickback, or improper payment in violation of the Anti-Corruption legislation of the Russian Federation (Federal Law No. 273-FZ).</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engagement of the Auditor in Moscow, Russia. This Purchase Order constitutes a binding contractual agreement between the Purchasing Entity and the Auditor effective from the date of the last signature.</w:t>
      </w:r>
    </w:p>
    <w:p>
      <w:pPr>
        <w:pStyle w:val="BodyText"/>
      </w:pPr>
      <w:r>
        <w:rPr>
          <w:bCs/>
          <w:b/>
        </w:rPr>
        <w:t xml:space="preserve">For and on behalf of the Purchasing Entity:</w:t>
      </w:r>
    </w:p>
    <w:p>
      <w:pPr>
        <w:pStyle w:val="BodyText"/>
      </w:pPr>
      <w:r>
        <w:t xml:space="preserve">Vostok Industrial Holdings JSC</w:t>
      </w:r>
    </w:p>
    <w:p>
      <w:pPr>
        <w:pStyle w:val="BodyText"/>
      </w:pPr>
      <w:r>
        <w:t xml:space="preserve">Name: Dmitry A. Volkov</w:t>
      </w:r>
      <w:r>
        <w:br/>
      </w:r>
      <w:r>
        <w:t xml:space="preserve">Title: Chief Financial Officer</w:t>
      </w:r>
      <w:r>
        <w:br/>
      </w:r>
      <w:r>
        <w:t xml:space="preserve">Signature: _________________________</w:t>
      </w:r>
      <w:r>
        <w:br/>
      </w:r>
      <w:r>
        <w:t xml:space="preserve">Date: _______________</w:t>
      </w:r>
    </w:p>
    <w:p>
      <w:pPr>
        <w:pStyle w:val="BodyText"/>
      </w:pPr>
      <w:r>
        <w:rPr>
          <w:bCs/>
          <w:b/>
        </w:rPr>
        <w:t xml:space="preserve">For and on behalf of the Auditor:</w:t>
      </w:r>
    </w:p>
    <w:p>
      <w:pPr>
        <w:pStyle w:val="BodyText"/>
      </w:pPr>
      <w:r>
        <w:t xml:space="preserve">Deloitte Audit &amp; Advisory, Moscow Office</w:t>
      </w:r>
    </w:p>
    <w:p>
      <w:pPr>
        <w:pStyle w:val="BodyText"/>
      </w:pPr>
      <w:r>
        <w:t xml:space="preserve">Name: Elena S. Petrova</w:t>
      </w:r>
      <w:r>
        <w:br/>
      </w:r>
      <w:r>
        <w:t xml:space="preserve">Title: Lead Auditor / Engagement Partner</w:t>
      </w:r>
      <w:r>
        <w:br/>
      </w:r>
      <w:r>
        <w:t xml:space="preserve">Signature: _________________________</w:t>
      </w:r>
      <w:r>
        <w:br/>
      </w:r>
      <w:r>
        <w:t xml:space="preserve">Date: _______________</w:t>
      </w:r>
    </w:p>
    <w:p>
      <w:pPr>
        <w:pStyle w:val="BodyText"/>
      </w:pPr>
      <w:r>
        <w:t xml:space="preserve">This Purchase Order (PO-RM-2025-04871) was prepared and issued in Moscow, Russian Federation. All references to "Russia" and "Moscow" in this document pertain to the jurisdiction and physical location of the audit engagement. This document is valid only when bearing the original wet-ink signatures of both authorized representatives and the official company seals (pечать) of both parties. © 2025 Vostok Industrial Holdings JSC.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Russia Moscow</dc:title>
  <dc:creator/>
  <dc:language>en</dc:language>
  <cp:keywords/>
  <dcterms:created xsi:type="dcterms:W3CDTF">2026-10-10T01:20:04Z</dcterms:created>
  <dcterms:modified xsi:type="dcterms:W3CDTF">2026-10-10T01:20:04Z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