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Meridian Corporate Holdings Pte. Ltd.</w:t>
      </w:r>
    </w:p>
    <w:p>
      <w:pPr>
        <w:pStyle w:val="BodyText"/>
      </w:pPr>
      <w:r>
        <w:t xml:space="preserve">12 Marina Boulevard, Level 34, Singapore Singapore 018982</w:t>
      </w:r>
    </w:p>
    <w:p>
      <w:pPr>
        <w:pStyle w:val="BodyText"/>
      </w:pPr>
      <w:r>
        <w:t xml:space="preserve">UEN: 2019334455 | Tel: +65 6888 4400 | Email: procurement@meridiancorp.sg</w:t>
      </w:r>
    </w:p>
    <w:bookmarkEnd w:id="20"/>
    <w:p>
      <w:pPr>
        <w:pStyle w:val="BodyText"/>
      </w:pPr>
      <w:r>
        <w:t xml:space="preserve">Purchase Order No.: PO-2025-0847-SG</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1 July 2025</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Singapore Dollars (SGD)</w:t>
            </w:r>
          </w:p>
        </w:tc>
      </w:tr>
      <w:tr>
        <w:tc>
          <w:tcPr/>
          <w:p>
            <w:pPr>
              <w:pStyle w:val="Compact"/>
              <w:jc w:val="left"/>
            </w:pPr>
            <w:r>
              <w:t xml:space="preserve">Place of Performance</w:t>
            </w:r>
          </w:p>
        </w:tc>
        <w:tc>
          <w:tcPr/>
          <w:p>
            <w:pPr>
              <w:pStyle w:val="Compact"/>
              <w:jc w:val="left"/>
            </w:pPr>
            <w:r>
              <w:t xml:space="preserve">Singapore Singapore</w:t>
            </w:r>
          </w:p>
        </w:tc>
      </w:tr>
      <w:tr>
        <w:tc>
          <w:tcPr/>
          <w:p>
            <w:pPr>
              <w:pStyle w:val="Compact"/>
              <w:jc w:val="left"/>
            </w:pPr>
            <w:r>
              <w:t xml:space="preserve">Governing Jurisdiction</w:t>
            </w:r>
          </w:p>
        </w:tc>
        <w:tc>
          <w:tcPr/>
          <w:p>
            <w:pPr>
              <w:pStyle w:val="Compact"/>
              <w:jc w:val="left"/>
            </w:pPr>
            <w:r>
              <w:t xml:space="preserve">Laws of Singapore Singapore</w:t>
            </w:r>
          </w:p>
        </w:tc>
      </w:tr>
    </w:tbl>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Assurance &amp; Audit Partners LLP</w:t>
            </w:r>
          </w:p>
        </w:tc>
      </w:tr>
      <w:tr>
        <w:tc>
          <w:tcPr/>
          <w:p>
            <w:pPr>
              <w:pStyle w:val="Compact"/>
              <w:jc w:val="left"/>
            </w:pPr>
            <w:r>
              <w:t xml:space="preserve">Address</w:t>
            </w:r>
          </w:p>
        </w:tc>
        <w:tc>
          <w:tcPr/>
          <w:p>
            <w:pPr>
              <w:pStyle w:val="Compact"/>
              <w:jc w:val="left"/>
            </w:pPr>
            <w:r>
              <w:t xml:space="preserve">88 Raffles Place, Tower B, Level 21, Singapore Singapore 048622</w:t>
            </w:r>
          </w:p>
        </w:tc>
      </w:tr>
      <w:tr>
        <w:tc>
          <w:tcPr/>
          <w:p>
            <w:pPr>
              <w:pStyle w:val="Compact"/>
              <w:jc w:val="left"/>
            </w:pPr>
            <w:r>
              <w:t xml:space="preserve">UEN</w:t>
            </w:r>
          </w:p>
        </w:tc>
        <w:tc>
          <w:tcPr/>
          <w:p>
            <w:pPr>
              <w:pStyle w:val="Compact"/>
              <w:jc w:val="left"/>
            </w:pPr>
            <w:r>
              <w:t xml:space="preserve">2015667788</w:t>
            </w:r>
          </w:p>
        </w:tc>
      </w:tr>
      <w:tr>
        <w:tc>
          <w:tcPr/>
          <w:p>
            <w:pPr>
              <w:pStyle w:val="Compact"/>
              <w:jc w:val="left"/>
            </w:pPr>
            <w:r>
              <w:t xml:space="preserve">Lead Auditor</w:t>
            </w:r>
          </w:p>
        </w:tc>
        <w:tc>
          <w:tcPr/>
          <w:p>
            <w:pPr>
              <w:pStyle w:val="Compact"/>
              <w:jc w:val="left"/>
            </w:pPr>
            <w:r>
              <w:t xml:space="preserve">Mr. Tan Wei Keong, CPA (Singapore), FCA</w:t>
            </w:r>
          </w:p>
        </w:tc>
      </w:tr>
      <w:tr>
        <w:tc>
          <w:tcPr/>
          <w:p>
            <w:pPr>
              <w:pStyle w:val="Compact"/>
              <w:jc w:val="left"/>
            </w:pPr>
            <w:r>
              <w:t xml:space="preserve">Contact Email</w:t>
            </w:r>
          </w:p>
        </w:tc>
        <w:tc>
          <w:tcPr/>
          <w:p>
            <w:pPr>
              <w:pStyle w:val="Compact"/>
              <w:jc w:val="left"/>
            </w:pPr>
            <w:r>
              <w:t xml:space="preserve">engagement@apexaudit.sg</w:t>
            </w:r>
          </w:p>
        </w:tc>
      </w:tr>
      <w:tr>
        <w:tc>
          <w:tcPr/>
          <w:p>
            <w:pPr>
              <w:pStyle w:val="Compact"/>
              <w:jc w:val="left"/>
            </w:pPr>
            <w:r>
              <w:t xml:space="preserve">Registration No.</w:t>
            </w:r>
          </w:p>
        </w:tc>
        <w:tc>
          <w:tcPr/>
          <w:p>
            <w:pPr>
              <w:pStyle w:val="Compact"/>
              <w:jc w:val="left"/>
            </w:pPr>
            <w:r>
              <w:t xml:space="preserve">ACRA Registered Auditor – Singapore Singapore</w:t>
            </w:r>
          </w:p>
        </w:tc>
      </w:tr>
    </w:tbl>
    <w:p>
      <w:pPr>
        <w:pStyle w:val="BodyText"/>
      </w:pPr>
      <w:r>
        <w:t xml:space="preserve">2. Description of Services – Auditor Engagement</w:t>
      </w:r>
    </w:p>
    <w:p>
      <w:pPr>
        <w:pStyle w:val="BodyText"/>
      </w:pPr>
      <w:r>
        <w:t xml:space="preserve">This Purchase Order is issued by Meridian Corporate Holdings Pte. Ltd. (hereinafter referred to as the "Purchaser") to Apex Assurance &amp; Audit Partners LLP (hereinafter referred to as the "Auditor") for the provision of comprehensive statutory and internal audit services. The Auditor shall perform a full-scope financial audit of the Purchaser's consolidated accounts for the financial year ending 31 December 2025, in accordance with the Singapore Standards on Auditing (SSAs) as issued by the Accounting and Corporate Regulatory Authority (ACRA) of Singapore Singapore.</w:t>
      </w:r>
    </w:p>
    <w:p>
      <w:pPr>
        <w:pStyle w:val="BodyText"/>
      </w:pPr>
      <w:r>
        <w:t xml:space="preserve">The scope of the Auditor's engagement under this Purchase Order includes, but is not limited to: (a) examination of the Purchaser's general ledger, trial balance, and supporting documentation; (b) verification of cash balances, bank reconciliations, and foreign currency holdings across all Singapore Singapore banking entities; (c) review of revenue recognition policies and compliance with the Companies Act 1967 of Singapore Singapore; (d) assessment of internal controls and risk management frameworks; (e) confirmation of related-party transactions; (f) evaluation of provisions, contingencies, and going-concern assumptions; and (g) issuance of an independent Auditor's report to the Board of Directors and shareholders of the Purchaser.</w:t>
      </w:r>
    </w:p>
    <w:p>
      <w:pPr>
        <w:pStyle w:val="BodyText"/>
      </w:pPr>
      <w:r>
        <w:t xml:space="preserve">The Auditor shall assign a qualified engagement team of no fewer than six (6) professionals, led by the Lead Auditor named above. All fieldwork shall be conducted at the Purchaser's principal offices located in Singapore Singapore, with additional site visits to subsidiary operations as reasonably required. The Auditor shall maintain strict confidentiality in accordance with the Personal Data Protection Act 2012 of Singapore Singapore and shall not disclose any proprietary financial information to third parties without prior written consent from the Purchaser.</w:t>
      </w:r>
    </w:p>
    <w:p>
      <w:pPr>
        <w:pStyle w:val="BodyText"/>
      </w:pPr>
      <w:r>
        <w:t xml:space="preserve">3. Schedule of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Statutory Financial Audit – Full Scope (FY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Internal Controls Review &amp; Risk Assessment</w:t>
            </w:r>
          </w:p>
        </w:tc>
        <w:tc>
          <w:tcPr/>
          <w:p>
            <w:pPr>
              <w:pStyle w:val="Compact"/>
              <w:jc w:val="left"/>
            </w:pPr>
            <w:r>
              <w:t xml:space="preserve">1</w:t>
            </w:r>
          </w:p>
        </w:tc>
        <w:tc>
          <w:tcPr/>
          <w:p>
            <w:pPr>
              <w:pStyle w:val="Compact"/>
              <w:jc w:val="left"/>
            </w:pPr>
            <w:r>
              <w:t xml:space="preserve">62,500.00</w:t>
            </w:r>
          </w:p>
        </w:tc>
        <w:tc>
          <w:tcPr/>
          <w:p>
            <w:pPr>
              <w:pStyle w:val="Compact"/>
              <w:jc w:val="left"/>
            </w:pPr>
            <w:r>
              <w:t xml:space="preserve">62,500.00</w:t>
            </w:r>
          </w:p>
        </w:tc>
      </w:tr>
      <w:tr>
        <w:tc>
          <w:tcPr/>
          <w:p>
            <w:pPr>
              <w:pStyle w:val="Compact"/>
              <w:jc w:val="left"/>
            </w:pPr>
            <w:r>
              <w:t xml:space="preserve">3</w:t>
            </w:r>
          </w:p>
        </w:tc>
        <w:tc>
          <w:tcPr/>
          <w:p>
            <w:pPr>
              <w:pStyle w:val="Compact"/>
              <w:jc w:val="left"/>
            </w:pPr>
            <w:r>
              <w:t xml:space="preserve">Related-Party Transaction Verification</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Interim Review (Q1 &amp; Q3 2025)</w:t>
            </w:r>
          </w:p>
        </w:tc>
        <w:tc>
          <w:tcPr/>
          <w:p>
            <w:pPr>
              <w:pStyle w:val="Compact"/>
              <w:jc w:val="left"/>
            </w:pPr>
            <w:r>
              <w:t xml:space="preserve">2</w:t>
            </w:r>
          </w:p>
        </w:tc>
        <w:tc>
          <w:tcPr/>
          <w:p>
            <w:pPr>
              <w:pStyle w:val="Compact"/>
              <w:jc w:val="left"/>
            </w:pPr>
            <w:r>
              <w:t xml:space="preserve">22,000.00</w:t>
            </w:r>
          </w:p>
        </w:tc>
        <w:tc>
          <w:tcPr/>
          <w:p>
            <w:pPr>
              <w:pStyle w:val="Compact"/>
              <w:jc w:val="left"/>
            </w:pPr>
            <w:r>
              <w:t xml:space="preserve">44,000.00</w:t>
            </w:r>
          </w:p>
        </w:tc>
      </w:tr>
      <w:tr>
        <w:tc>
          <w:tcPr/>
          <w:p>
            <w:pPr>
              <w:pStyle w:val="Compact"/>
              <w:jc w:val="left"/>
            </w:pPr>
            <w:r>
              <w:t xml:space="preserve">5</w:t>
            </w:r>
          </w:p>
        </w:tc>
        <w:tc>
          <w:tcPr/>
          <w:p>
            <w:pPr>
              <w:pStyle w:val="Compact"/>
              <w:jc w:val="left"/>
            </w:pPr>
            <w:r>
              <w:t xml:space="preserve">Management Letter &amp; Advisory Report</w:t>
            </w:r>
          </w:p>
        </w:tc>
        <w:tc>
          <w:tcPr/>
          <w:p>
            <w:pPr>
              <w:pStyle w:val="Compact"/>
              <w:jc w:val="left"/>
            </w:pPr>
            <w:r>
              <w:t xml:space="preserve">1</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6</w:t>
            </w:r>
          </w:p>
        </w:tc>
        <w:tc>
          <w:tcPr/>
          <w:p>
            <w:pPr>
              <w:pStyle w:val="Compact"/>
              <w:jc w:val="left"/>
            </w:pPr>
            <w:r>
              <w:t xml:space="preserve">Travel &amp; Accommodation (Singapore Singapore sites)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gridSpan w:val="4"/>
          </w:tcPr>
          <w:p>
            <w:pPr>
              <w:pStyle w:val="Compact"/>
              <w:jc w:val="left"/>
            </w:pPr>
            <w:r>
              <w:t xml:space="preserve">Subtotal</w:t>
            </w:r>
          </w:p>
        </w:tc>
        <w:tc>
          <w:tcPr/>
          <w:p>
            <w:pPr>
              <w:pStyle w:val="Compact"/>
              <w:jc w:val="left"/>
            </w:pPr>
            <w:r>
              <w:t xml:space="preserve">343,500.00</w:t>
            </w:r>
          </w:p>
        </w:tc>
      </w:tr>
      <w:tr>
        <w:tc>
          <w:tcPr>
            <w:gridSpan w:val="4"/>
          </w:tcPr>
          <w:p>
            <w:pPr>
              <w:pStyle w:val="Compact"/>
              <w:jc w:val="left"/>
            </w:pPr>
            <w:r>
              <w:t xml:space="preserve">GST @ 9% (Singapore Singapore)</w:t>
            </w:r>
          </w:p>
        </w:tc>
        <w:tc>
          <w:tcPr/>
          <w:p>
            <w:pPr>
              <w:pStyle w:val="Compact"/>
              <w:jc w:val="left"/>
            </w:pPr>
            <w:r>
              <w:t xml:space="preserve">30,915.00</w:t>
            </w:r>
          </w:p>
        </w:tc>
      </w:tr>
      <w:tr>
        <w:tc>
          <w:tcPr>
            <w:gridSpan w:val="4"/>
          </w:tcPr>
          <w:p>
            <w:pPr>
              <w:pStyle w:val="Compact"/>
              <w:jc w:val="left"/>
            </w:pPr>
            <w:r>
              <w:t xml:space="preserve">Total Amount Due (SGD)</w:t>
            </w:r>
          </w:p>
        </w:tc>
        <w:tc>
          <w:tcPr/>
          <w:p>
            <w:pPr>
              <w:pStyle w:val="Compact"/>
              <w:jc w:val="left"/>
            </w:pPr>
            <w:r>
              <w:t xml:space="preserve">374,415.00</w:t>
            </w:r>
          </w:p>
        </w:tc>
      </w:tr>
    </w:tbl>
    <w:p>
      <w:pPr>
        <w:pStyle w:val="BodyText"/>
      </w:pPr>
      <w:r>
        <w:t xml:space="preserve">4. Terms and Conditions</w:t>
      </w:r>
    </w:p>
    <w:p>
      <w:pPr>
        <w:pStyle w:val="BodyText"/>
      </w:pPr>
      <w:r>
        <w:t xml:space="preserve">4.1 This Purchase Order is governed by and shall be construed in accordance with the laws of Singapore Singapore. Any disputes arising from this Purchase Order shall be resolved through arbitration administered by the Singapore International Arbitration Centre (SIAC) in Singapore Singapore.</w:t>
      </w:r>
    </w:p>
    <w:p>
      <w:pPr>
        <w:pStyle w:val="BodyText"/>
      </w:pPr>
      <w:r>
        <w:t xml:space="preserve">4.2 The Auditor shall commence fieldwork no later than 1 July 2025 and shall deliver the final Auditor's report, together with the Management Letter, no later than 30 March 2026. Failure to meet the delivery deadline without written approval from the Purchaser shall entitle the Purchaser to a penalty of 1.5% of the total contract value per calendar day of delay, capped at 10%.</w:t>
      </w:r>
    </w:p>
    <w:p>
      <w:pPr>
        <w:pStyle w:val="BodyText"/>
      </w:pPr>
      <w:r>
        <w:t xml:space="preserve">4.3 Payment shall be made in three (3) instalments: 40% upon execution of this Purchase Order, 40% upon completion of fieldwork, and 20% upon delivery and acceptance of the final Auditor's report. All payments shall be made via bank transfer to the Auditor's designated account in Singapore Singapore.</w:t>
      </w:r>
    </w:p>
    <w:p>
      <w:pPr>
        <w:pStyle w:val="BodyText"/>
      </w:pPr>
      <w:r>
        <w:t xml:space="preserve">4.4 The Auditor warrants that all professionals assigned to this engagement are duly qualified, independent, and free from any conflict of interest as defined under the Singapore Institute of Accountants (SIA) Code of Ethics. The Auditor shall maintain professional indemnity insurance of no less than SGD 5,000,000 for the duration of the engagement.</w:t>
      </w:r>
    </w:p>
    <w:p>
      <w:pPr>
        <w:pStyle w:val="BodyText"/>
      </w:pPr>
      <w:r>
        <w:t xml:space="preserve">4.5 This Purchase Order may be amended only by mutual written agreement between the Purchaser and the Auditor. No oral modification shall be binding. All communications regarding this Purchase Order shall be directed to the procurement department of the Purchaser in Singapore Singapore.</w:t>
      </w:r>
    </w:p>
    <w:p>
      <w:pPr>
        <w:pStyle w:val="BodyText"/>
      </w:pPr>
      <w:r>
        <w:t xml:space="preserve">4.6 The Auditor shall comply with all applicable data protection, anti-money laundering, and corporate governance regulations in force in Singapore Singapore. The Auditor shall submit to a background verification check by the Purchaser's compliance team prior to commencement of fieldwork.</w:t>
      </w:r>
    </w:p>
    <w:p>
      <w:pPr>
        <w:pStyle w:val="BodyText"/>
      </w:pPr>
      <w:r>
        <w:t xml:space="preserve">5. Authorisation and Acceptance</w:t>
      </w:r>
    </w:p>
    <w:p>
      <w:pPr>
        <w:pStyle w:val="BodyText"/>
      </w:pPr>
      <w:r>
        <w:rPr>
          <w:bCs/>
          <w:b/>
        </w:rPr>
        <w:t xml:space="preserve">For and on behalf of the Purchaser:</w:t>
      </w:r>
    </w:p>
    <w:p>
      <w:pPr>
        <w:pStyle w:val="BodyText"/>
      </w:pPr>
      <w:r>
        <w:t xml:space="preserve">Meridian Corporate Holdings Pte. Ltd.</w:t>
      </w:r>
    </w:p>
    <w:p>
      <w:pPr>
        <w:pStyle w:val="BodyText"/>
      </w:pPr>
      <w:r>
        <w:t xml:space="preserve">Name: Ms. Lim Siew Lan</w:t>
      </w:r>
      <w:r>
        <w:br/>
      </w:r>
      <w:r>
        <w:t xml:space="preserve">Title: Chief Financial Officer</w:t>
      </w:r>
      <w:r>
        <w:br/>
      </w:r>
      <w:r>
        <w:t xml:space="preserve">Signature: _________________________</w:t>
      </w:r>
      <w:r>
        <w:br/>
      </w:r>
      <w:r>
        <w:t xml:space="preserve">Date: 15 June 2025</w:t>
      </w:r>
    </w:p>
    <w:p>
      <w:pPr>
        <w:pStyle w:val="BodyText"/>
      </w:pPr>
      <w:r>
        <w:rPr>
          <w:bCs/>
          <w:b/>
        </w:rPr>
        <w:t xml:space="preserve">For and on behalf of the Auditor:</w:t>
      </w:r>
    </w:p>
    <w:p>
      <w:pPr>
        <w:pStyle w:val="BodyText"/>
      </w:pPr>
      <w:r>
        <w:t xml:space="preserve">Apex Assurance &amp; Audit Partners LLP</w:t>
      </w:r>
    </w:p>
    <w:p>
      <w:pPr>
        <w:pStyle w:val="BodyText"/>
      </w:pPr>
      <w:r>
        <w:t xml:space="preserve">Name: Mr. Tan Wei Keong</w:t>
      </w:r>
      <w:r>
        <w:br/>
      </w:r>
      <w:r>
        <w:t xml:space="preserve">Title: Lead Auditor / Engagement Partner</w:t>
      </w:r>
      <w:r>
        <w:br/>
      </w:r>
      <w:r>
        <w:t xml:space="preserve">Signature: _________________________</w:t>
      </w:r>
      <w:r>
        <w:br/>
      </w:r>
      <w:r>
        <w:t xml:space="preserve">Date: 15 June 2025</w:t>
      </w:r>
    </w:p>
    <w:p>
      <w:pPr>
        <w:pStyle w:val="BodyText"/>
      </w:pPr>
      <w:r>
        <w:t xml:space="preserve">This Purchase Order is issued under the procurement policies of Meridian Corporate Holdings Pte. Ltd., Singapore Singapore. Document Ref: PO-2025-0847-SG. This document is valid for a period of ninety (90) days from the date of issue. Unauthorized reproduction or distribution of this Purchase Order is strictly prohibited under the laws of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Singapore Singapore</dc:title>
  <dc:creator/>
  <dc:language>en</dc:language>
  <cp:keywords/>
  <dcterms:created xsi:type="dcterms:W3CDTF">2026-10-10T05:12:20Z</dcterms:created>
  <dcterms:modified xsi:type="dcterms:W3CDTF">2026-10-10T05:12:20Z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