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Thailand Bangkok Business Services Co., Ltd.</w:t>
      </w:r>
    </w:p>
    <w:p>
      <w:pPr>
        <w:pStyle w:val="BodyText"/>
      </w:pPr>
      <w:r>
        <w:t xml:space="preserve">128/45 Sukhumvit Road, Khlong Toei, Bangkok 10110, Thailand</w:t>
      </w:r>
    </w:p>
    <w:p>
      <w:pPr>
        <w:pStyle w:val="BodyText"/>
      </w:pPr>
      <w:r>
        <w:t xml:space="preserve">Tax ID: 0105556789012 | VAT Registration: 0105556789012</w:t>
      </w:r>
    </w:p>
    <w:p>
      <w:pPr>
        <w:pStyle w:val="BodyText"/>
      </w:pPr>
      <w:r>
        <w:t xml:space="preserve">Telephone: +66-2-255-8899 | Email: procurement@thailandbangkobservices.co.th</w:t>
      </w:r>
    </w:p>
    <w:bookmarkEnd w:id="20"/>
    <w:bookmarkStart w:id="21" w:name="issued-by-buyer"/>
    <w:p>
      <w:pPr>
        <w:pStyle w:val="Heading3"/>
      </w:pPr>
      <w:r>
        <w:t xml:space="preserve">Issued By (Buyer)</w:t>
      </w:r>
    </w:p>
    <w:p>
      <w:pPr>
        <w:pStyle w:val="FirstParagraph"/>
      </w:pPr>
      <w:r>
        <w:rPr>
          <w:bCs/>
          <w:b/>
        </w:rPr>
        <w:t xml:space="preserve">Thailand Bangkok Business Services Co., Ltd.</w:t>
      </w:r>
    </w:p>
    <w:p>
      <w:pPr>
        <w:pStyle w:val="BodyText"/>
      </w:pPr>
      <w:r>
        <w:t xml:space="preserve">128/45 Sukhumvit Road, Khlong Toei</w:t>
      </w:r>
    </w:p>
    <w:p>
      <w:pPr>
        <w:pStyle w:val="BodyText"/>
      </w:pPr>
      <w:r>
        <w:t xml:space="preserve">Bangkok 10110, Thailand</w:t>
      </w:r>
    </w:p>
    <w:p>
      <w:pPr>
        <w:pStyle w:val="BodyText"/>
      </w:pPr>
      <w:r>
        <w:t xml:space="preserve">Attn: Mr. Somchai Prasert, Procurement Director</w:t>
      </w:r>
    </w:p>
    <w:bookmarkEnd w:id="21"/>
    <w:bookmarkStart w:id="22" w:name="issued-to-vendor-auditor"/>
    <w:p>
      <w:pPr>
        <w:pStyle w:val="Heading3"/>
      </w:pPr>
      <w:r>
        <w:t xml:space="preserve">Issued To (Vendor / Auditor)</w:t>
      </w:r>
    </w:p>
    <w:p>
      <w:pPr>
        <w:pStyle w:val="FirstParagraph"/>
      </w:pPr>
      <w:r>
        <w:rPr>
          <w:bCs/>
          <w:b/>
        </w:rPr>
        <w:t xml:space="preserve">Chartered Auditor &amp; Advisory Partners (Thailand) Ltd.</w:t>
      </w:r>
    </w:p>
    <w:p>
      <w:pPr>
        <w:pStyle w:val="BodyText"/>
      </w:pPr>
      <w:r>
        <w:t xml:space="preserve">72/11 Ratchadamri Road, Lumphini</w:t>
      </w:r>
    </w:p>
    <w:p>
      <w:pPr>
        <w:pStyle w:val="BodyText"/>
      </w:pPr>
      <w:r>
        <w:t xml:space="preserve">Pathum Wan, Bangkok 10330, Thailand</w:t>
      </w:r>
    </w:p>
    <w:p>
      <w:pPr>
        <w:pStyle w:val="BodyText"/>
      </w:pPr>
      <w:r>
        <w:t xml:space="preserve">Attn: Ms. Anong Chaiyaporn, Lead Auditor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PO-TBB-2025-00472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Completion Date:</w:t>
            </w:r>
          </w:p>
        </w:tc>
        <w:tc>
          <w:tcPr/>
          <w:p>
            <w:pPr>
              <w:pStyle w:val="Compact"/>
              <w:jc w:val="left"/>
            </w:pPr>
            <w:r>
              <w:t xml:space="preserve">30 September 2025</w:t>
            </w:r>
          </w:p>
        </w:tc>
      </w:tr>
      <w:tr>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Payment Terms:</w:t>
            </w:r>
          </w:p>
        </w:tc>
        <w:tc>
          <w:tcPr/>
          <w:p>
            <w:pPr>
              <w:pStyle w:val="Compact"/>
              <w:jc w:val="left"/>
            </w:pPr>
            <w:r>
              <w:t xml:space="preserve">Net 30 days from invoice date, payable via bank transfer to the Auditor's designated account in Bangkok</w:t>
            </w:r>
          </w:p>
        </w:tc>
      </w:tr>
      <w:tr>
        <w:tc>
          <w:tcPr/>
          <w:p>
            <w:pPr>
              <w:pStyle w:val="Compact"/>
              <w:jc w:val="left"/>
            </w:pPr>
            <w:r>
              <w:t xml:space="preserve">Governing Jurisdiction:</w:t>
            </w:r>
          </w:p>
        </w:tc>
        <w:tc>
          <w:tcPr/>
          <w:p>
            <w:pPr>
              <w:pStyle w:val="Compact"/>
              <w:jc w:val="left"/>
            </w:pPr>
            <w:r>
              <w:t xml:space="preserve">Kingdom of Thailand, Bangkok Metropolitan Region</w:t>
            </w:r>
          </w:p>
        </w:tc>
      </w:tr>
    </w:tbl>
    <w:p>
      <w:pPr>
        <w:pStyle w:val="BodyText"/>
      </w:pPr>
      <w:r>
        <w:t xml:space="preserve">Description of Services – Auditor Engagement</w:t>
      </w:r>
    </w:p>
    <w:p>
      <w:pPr>
        <w:pStyle w:val="BodyText"/>
      </w:pPr>
      <w:r>
        <w:t xml:space="preserve">This</w:t>
      </w:r>
      <w:r>
        <w:t xml:space="preserve"> </w:t>
      </w:r>
      <w:r>
        <w:t xml:space="preserve">Purchase Order</w:t>
      </w:r>
      <w:r>
        <w:t xml:space="preserve"> </w:t>
      </w:r>
      <w:r>
        <w:t xml:space="preserve">is issued by Thailand Bangkok Business Services Co., Ltd. (hereinafter referred to as the "Buyer") to formally engage the services of Chartered Auditor &amp; Advisory Partners (Thailand) Ltd. (hereinafter referred to as the "Auditor") for the provision of comprehensive statutory and internal audit services within the Bangkok metropolitan area. The Auditor shall perform all duties in strict accordance with the Thai Accounting Standards, the Thai Institute of Certified Public Accountants (TICPA) regulations, and the requirements set forth by the Department of Business Development under the Ministry of Commerce of Thailand.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Auditor Services</w:t>
            </w:r>
          </w:p>
        </w:tc>
        <w:tc>
          <w:tcPr/>
          <w:p>
            <w:pPr>
              <w:pStyle w:val="Compact"/>
              <w:jc w:val="left"/>
            </w:pPr>
            <w:r>
              <w:t xml:space="preserve">Duration</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Statutory Annual Financial Audit of the Buyer's consolidated accounts for the fiscal year ending 31 December 2025, conducted in Bangkok, Thailand, in compliance with Thai Company Law B.E. 2535 (1992) and applicable SEC Thailand regulations.</w:t>
            </w:r>
          </w:p>
        </w:tc>
        <w:tc>
          <w:tcPr/>
          <w:p>
            <w:pPr>
              <w:pStyle w:val="Compact"/>
              <w:jc w:val="left"/>
            </w:pPr>
            <w:r>
              <w:t xml:space="preserve">Aug – Sep 2025</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Internal Audit and Risk Assessment covering all operational branches located in Bangkok, including process compliance, fraud detection, and internal control evaluation as mandated by the Board of Directors of Thailand Bangkok Business Services Co., Ltd.</w:t>
            </w:r>
          </w:p>
        </w:tc>
        <w:tc>
          <w:tcPr/>
          <w:p>
            <w:pPr>
              <w:pStyle w:val="Compact"/>
              <w:jc w:val="left"/>
            </w:pPr>
            <w:r>
              <w:t xml:space="preserve">Jul – Aug 2025</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3</w:t>
            </w:r>
          </w:p>
        </w:tc>
        <w:tc>
          <w:tcPr/>
          <w:p>
            <w:pPr>
              <w:pStyle w:val="Compact"/>
              <w:jc w:val="left"/>
            </w:pPr>
            <w:r>
              <w:t xml:space="preserve">Tax Compliance Audit and VAT reconciliation for all transactions processed in Thailand Bangkok, ensuring full adherence to the Revenue Code of Thailand and the 7% Value Added Tax (VAT) regulations administered by the Revenue Department, Bangkok.</w:t>
            </w:r>
          </w:p>
        </w:tc>
        <w:tc>
          <w:tcPr/>
          <w:p>
            <w:pPr>
              <w:pStyle w:val="Compact"/>
              <w:jc w:val="left"/>
            </w:pPr>
            <w:r>
              <w:t xml:space="preserve">Jul 2025</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Special Investigation Audit regarding vendor payment irregularities identified in Q1 2025, to be conducted by a dedicated team of senior Auditor professionals at the Buyer's headquarters in Khlong Toei, Bangkok.</w:t>
            </w:r>
          </w:p>
        </w:tc>
        <w:tc>
          <w:tcPr/>
          <w:p>
            <w:pPr>
              <w:pStyle w:val="Compact"/>
              <w:jc w:val="left"/>
            </w:pPr>
            <w:r>
              <w:t xml:space="preserve">Jun – Jul 2025</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5</w:t>
            </w:r>
          </w:p>
        </w:tc>
        <w:tc>
          <w:tcPr/>
          <w:p>
            <w:pPr>
              <w:pStyle w:val="Compact"/>
              <w:jc w:val="left"/>
            </w:pPr>
            <w:r>
              <w:t xml:space="preserve">Management Letter and Advisory Report providing recommendations for financial governance improvements, to be delivered in both Thai and English to the Board of Directors in Bangkok.</w:t>
            </w:r>
          </w:p>
        </w:tc>
        <w:tc>
          <w:tcPr/>
          <w:p>
            <w:pPr>
              <w:pStyle w:val="Compact"/>
              <w:jc w:val="left"/>
            </w:pPr>
            <w:r>
              <w:t xml:space="preserve">Sep 2025</w:t>
            </w:r>
          </w:p>
        </w:tc>
        <w:tc>
          <w:tcPr/>
          <w:p>
            <w:pPr>
              <w:pStyle w:val="Compact"/>
              <w:jc w:val="left"/>
            </w:pPr>
            <w:r>
              <w:t xml:space="preserve">180,000.00</w:t>
            </w:r>
          </w:p>
        </w:tc>
        <w:tc>
          <w:tcPr/>
          <w:p>
            <w:pPr>
              <w:pStyle w:val="Compact"/>
              <w:jc w:val="left"/>
            </w:pPr>
            <w:r>
              <w:t xml:space="preserve">180,000.00</w:t>
            </w:r>
          </w:p>
        </w:tc>
      </w:tr>
      <w:tr>
        <w:tc>
          <w:tcPr>
            <w:gridSpan w:val="4"/>
          </w:tcPr>
          <w:p>
            <w:pPr>
              <w:pStyle w:val="Compact"/>
              <w:jc w:val="left"/>
            </w:pPr>
            <w:r>
              <w:t xml:space="preserve">Subtotal (THB)</w:t>
            </w:r>
          </w:p>
        </w:tc>
        <w:tc>
          <w:tcPr/>
          <w:p>
            <w:pPr>
              <w:pStyle w:val="Compact"/>
              <w:jc w:val="left"/>
            </w:pPr>
            <w:r>
              <w:t xml:space="preserve">4,080,000.00</w:t>
            </w:r>
          </w:p>
        </w:tc>
      </w:tr>
      <w:tr>
        <w:tc>
          <w:tcPr>
            <w:gridSpan w:val="4"/>
          </w:tcPr>
          <w:p>
            <w:pPr>
              <w:pStyle w:val="Compact"/>
              <w:jc w:val="left"/>
            </w:pPr>
            <w:r>
              <w:t xml:space="preserve">VAT @ 7% (THB)</w:t>
            </w:r>
          </w:p>
        </w:tc>
        <w:tc>
          <w:tcPr/>
          <w:p>
            <w:pPr>
              <w:pStyle w:val="Compact"/>
              <w:jc w:val="left"/>
            </w:pPr>
            <w:r>
              <w:t xml:space="preserve">285,600.00</w:t>
            </w:r>
          </w:p>
        </w:tc>
      </w:tr>
      <w:tr>
        <w:tc>
          <w:tcPr>
            <w:gridSpan w:val="4"/>
          </w:tcPr>
          <w:p>
            <w:pPr>
              <w:pStyle w:val="Compact"/>
              <w:jc w:val="left"/>
            </w:pPr>
            <w:r>
              <w:rPr>
                <w:bCs/>
                <w:b/>
              </w:rPr>
              <w:t xml:space="preserve">Total Amount Due (THB)</w:t>
            </w:r>
          </w:p>
        </w:tc>
        <w:tc>
          <w:tcPr/>
          <w:p>
            <w:pPr>
              <w:pStyle w:val="Compact"/>
              <w:jc w:val="left"/>
            </w:pPr>
            <w:r>
              <w:rPr>
                <w:bCs/>
                <w:b/>
              </w:rPr>
              <w:t xml:space="preserve">4,365,600.00</w:t>
            </w:r>
          </w:p>
        </w:tc>
      </w:tr>
    </w:tbl>
    <w:p>
      <w:pPr>
        <w:pStyle w:val="BodyText"/>
      </w:pPr>
      <w:r>
        <w:t xml:space="preserve">All amounts are stated in Thai Baht (THB). The 7% VAT is applicable in accordance with the Thai Revenue Code. The Auditor shall issue a VAT invoice (Tax Invoice) in compliance with the Revenue Department's e-Tax Invoice system registered in Bangkok.</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Auditor shall perform all audit engagements strictly within the geographical boundaries of Thailand, with primary operations based in Bangkok. All fieldwork, document inspections, and stakeholder interviews shall be conducted at the Buyer's premises in Khlong Toei, Bangkok, or at such other locations in Thailand Bangkok as mutually agreed in writing.</w:t>
      </w:r>
    </w:p>
    <w:p>
      <w:pPr>
        <w:numPr>
          <w:ilvl w:val="0"/>
          <w:numId w:val="1001"/>
        </w:numPr>
        <w:pStyle w:val="Compact"/>
      </w:pPr>
      <w:r>
        <w:rPr>
          <w:bCs/>
          <w:b/>
        </w:rPr>
        <w:t xml:space="preserve">Professional Standards:</w:t>
      </w:r>
      <w:r>
        <w:t xml:space="preserve"> </w:t>
      </w:r>
      <w:r>
        <w:t xml:space="preserve">The Auditor is required to conduct all services in accordance with International Standards on Auditing (ISA) as adopted by the Thai Institute of Certified Public Accountants, the Thai Company Law, and all applicable regulations of the Securities and Exchange Commission of Thailand (SEC) headquartered in Bangkok.</w:t>
      </w:r>
    </w:p>
    <w:p>
      <w:pPr>
        <w:numPr>
          <w:ilvl w:val="0"/>
          <w:numId w:val="1001"/>
        </w:numPr>
        <w:pStyle w:val="Compact"/>
      </w:pPr>
      <w:r>
        <w:rPr>
          <w:bCs/>
          <w:b/>
        </w:rPr>
        <w:t xml:space="preserve">Confidentiality:</w:t>
      </w:r>
      <w:r>
        <w:t xml:space="preserve"> </w:t>
      </w:r>
      <w:r>
        <w:t xml:space="preserve">The Auditor shall maintain strict confidentiality over all financial records, trade secrets, and proprietary information of Thailand Bangkok Business Services Co., Ltd. This obligation shall survive the termination of this Purchase Order for a period of five (5) years and is governed by the Thai Civil and Commercial Code.</w:t>
      </w:r>
    </w:p>
    <w:p>
      <w:pPr>
        <w:numPr>
          <w:ilvl w:val="0"/>
          <w:numId w:val="1001"/>
        </w:numPr>
        <w:pStyle w:val="Compact"/>
      </w:pPr>
      <w:r>
        <w:rPr>
          <w:bCs/>
          <w:b/>
        </w:rPr>
        <w:t xml:space="preserve">Independence:</w:t>
      </w:r>
      <w:r>
        <w:t xml:space="preserve"> </w:t>
      </w:r>
      <w:r>
        <w:t xml:space="preserve">The Auditor warrants that it and its personnel shall maintain full professional independence and objectivity throughout the engagement. The Auditor shall disclose any potential conflicts of interest to the Buyer prior to commencing work in Bangkok.</w:t>
      </w:r>
    </w:p>
    <w:p>
      <w:pPr>
        <w:numPr>
          <w:ilvl w:val="0"/>
          <w:numId w:val="1001"/>
        </w:numPr>
        <w:pStyle w:val="Compact"/>
      </w:pPr>
      <w:r>
        <w:rPr>
          <w:bCs/>
          <w:b/>
        </w:rPr>
        <w:t xml:space="preserve">Deliverables:</w:t>
      </w:r>
      <w:r>
        <w:t xml:space="preserve"> </w:t>
      </w:r>
      <w:r>
        <w:t xml:space="preserve">All audit reports, management letters, and supporting documentation shall be delivered in both Thai and English. The final statutory audit report must be submitted to the Buyer's Board of Directors in Bangkok no later than 30 September 2025, and filed with the Department of Business Development within the statutory deadline prescribed by Thai law.</w:t>
      </w:r>
    </w:p>
    <w:p>
      <w:pPr>
        <w:numPr>
          <w:ilvl w:val="0"/>
          <w:numId w:val="1001"/>
        </w:numPr>
        <w:pStyle w:val="Compact"/>
      </w:pPr>
      <w:r>
        <w:rPr>
          <w:bCs/>
          <w:b/>
        </w:rPr>
        <w:t xml:space="preserve">Payment:</w:t>
      </w:r>
      <w:r>
        <w:t xml:space="preserve"> </w:t>
      </w:r>
      <w:r>
        <w:t xml:space="preserve">Payment shall be made in Thai Baht via bank transfer to the Auditor's registered bank account in Bangkok within thirty (30) calendar days of receipt of a valid VAT Tax Invoice. Late payments shall accrue interest at the rate of 1.5% per month as permitted under Thai commercial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and all work-in-progress documentation shall be handed over to the Buyer in Bangkok.</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disputes shall be submitted to the courts of competent jurisdiction in Bangkok, Thailand, or to the Thai Arbitration Institute as mutually agreed.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Thailand Bangkok, as defined under the Thai Civil and Commercial Code.</w:t>
      </w:r>
    </w:p>
    <w:p>
      <w:pPr>
        <w:numPr>
          <w:ilvl w:val="0"/>
          <w:numId w:val="1001"/>
        </w:numPr>
        <w:pStyle w:val="Compact"/>
      </w:pPr>
      <w:r>
        <w:rPr>
          <w:bCs/>
          <w:b/>
        </w:rPr>
        <w:t xml:space="preserve">Compliance with Thai Law:</w:t>
      </w:r>
      <w:r>
        <w:t xml:space="preserve"> </w:t>
      </w:r>
      <w:r>
        <w:t xml:space="preserve">This Purchase Order and the services rendered under it shall be governed by and construed in accordance with the laws of the Kingdom of Thailand. The Auditor confirms it holds a valid license to practice audit services in Thailand as registered with the relevant regulatory authorities in Bangkok.</w:t>
      </w:r>
    </w:p>
    <w:p>
      <w:pPr>
        <w:pStyle w:val="FirstParagraph"/>
      </w:pPr>
      <w:r>
        <w:t xml:space="preserve">Authorization and Acceptance</w:t>
      </w:r>
    </w:p>
    <w:p>
      <w:pPr>
        <w:pStyle w:val="BodyText"/>
      </w:pPr>
      <w:r>
        <w:t xml:space="preserve">By signing below, both parties acknowledge and agree to all terms, conditions, and service descriptions outlined in this Purchase Order for the engagement of the Auditor in Thailand Bangkok. This document constitutes a binding agreement between the Buyer and the Auditor effective from the date of the last signature.</w:t>
      </w:r>
    </w:p>
    <w:p>
      <w:pPr>
        <w:pStyle w:val="BodyText"/>
      </w:pPr>
      <w:r>
        <w:rPr>
          <w:bCs/>
          <w:b/>
        </w:rPr>
        <w:t xml:space="preserve">For and on behalf of the Buyer:</w:t>
      </w:r>
    </w:p>
    <w:p>
      <w:pPr>
        <w:pStyle w:val="BodyText"/>
      </w:pPr>
      <w:r>
        <w:t xml:space="preserve">Thailand Bangkok Business Services Co., Ltd.</w:t>
      </w:r>
    </w:p>
    <w:p>
      <w:pPr>
        <w:pStyle w:val="BodyText"/>
      </w:pPr>
      <w:r>
        <w:t xml:space="preserve">Mr. Somchai Prasert</w:t>
      </w:r>
    </w:p>
    <w:p>
      <w:pPr>
        <w:pStyle w:val="BodyText"/>
      </w:pPr>
      <w:r>
        <w:t xml:space="preserve">Procurement Director</w:t>
      </w:r>
    </w:p>
    <w:p>
      <w:pPr>
        <w:pStyle w:val="BodyText"/>
      </w:pPr>
      <w:r>
        <w:t xml:space="preserve">Date: _______________</w:t>
      </w:r>
    </w:p>
    <w:p>
      <w:pPr>
        <w:pStyle w:val="BodyText"/>
      </w:pPr>
      <w:r>
        <w:rPr>
          <w:bCs/>
          <w:b/>
        </w:rPr>
        <w:t xml:space="preserve">For and on behalf of the Auditor:</w:t>
      </w:r>
    </w:p>
    <w:p>
      <w:pPr>
        <w:pStyle w:val="BodyText"/>
      </w:pPr>
      <w:r>
        <w:t xml:space="preserve">Chartered Auditor &amp; Advisory Partners (Thailand) Ltd.</w:t>
      </w:r>
    </w:p>
    <w:p>
      <w:pPr>
        <w:pStyle w:val="BodyText"/>
      </w:pPr>
      <w:r>
        <w:t xml:space="preserve">Ms. Anong Chaiyaporn</w:t>
      </w:r>
    </w:p>
    <w:p>
      <w:pPr>
        <w:pStyle w:val="BodyText"/>
      </w:pPr>
      <w:r>
        <w:t xml:space="preserve">Lead Auditor / Managing Partner</w:t>
      </w:r>
    </w:p>
    <w:p>
      <w:pPr>
        <w:pStyle w:val="BodyText"/>
      </w:pPr>
      <w:r>
        <w:t xml:space="preserve">Date: _______________</w:t>
      </w:r>
    </w:p>
    <w:p>
      <w:pPr>
        <w:pStyle w:val="BodyText"/>
      </w:pPr>
      <w:r>
        <w:t xml:space="preserve">This Purchase Order (PO-TBB-2025-00472) was prepared and issued in Bangkok, Thailand. It is valid for a period of ninety (90) days from the date of issue. Any amendments to this Purchase Order must be made in writing and signed by authorized representatives of both the Buyer and the Auditor. This document is subject to the laws of the Kingdom of Thailand and the jurisdiction of the Bangkok Metropolitan courts.</w:t>
      </w:r>
    </w:p>
    <w:p>
      <w:pPr>
        <w:pStyle w:val="BodyText"/>
      </w:pPr>
      <w:r>
        <w:t xml:space="preserve">© 2025 Thailand Bangkok Business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Thailand Bangkok</dc:title>
  <dc:creator/>
  <dc:language>en</dc:language>
  <cp:keywords/>
  <dcterms:created xsi:type="dcterms:W3CDTF">2026-10-10T03:41:54Z</dcterms:created>
  <dcterms:modified xsi:type="dcterms:W3CDTF">2026-10-10T03:41:54Z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