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Auditor Services Engagement – Republic of Turkey, Ankara</w:t>
      </w:r>
    </w:p>
    <w:p>
      <w:pPr>
        <w:pStyle w:val="BodyText"/>
      </w:pPr>
      <w:r>
        <w:t xml:space="preserve">PO No: TR-ANK-2025-004782</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Payment Terms:</w:t>
      </w:r>
      <w:r>
        <w:t xml:space="preserve"> </w:t>
      </w:r>
      <w:r>
        <w:t xml:space="preserve">Net 30 Days</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Anadolu Corporate Holdings A.Ş.</w:t>
      </w:r>
    </w:p>
    <w:p>
      <w:pPr>
        <w:pStyle w:val="BodyText"/>
      </w:pPr>
      <w:r>
        <w:rPr>
          <w:bCs/>
          <w:b/>
        </w:rPr>
        <w:t xml:space="preserve">Address:</w:t>
      </w:r>
      <w:r>
        <w:t xml:space="preserve"> </w:t>
      </w:r>
      <w:r>
        <w:t xml:space="preserve">Kızılay Mahallesi, Atatürk Bulvarı No: 142, Çankaya, 06700 Ankara,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Murat Yılmaz, Chief Financial Officer</w:t>
      </w:r>
    </w:p>
    <w:p>
      <w:pPr>
        <w:pStyle w:val="BodyText"/>
      </w:pPr>
      <w:r>
        <w:rPr>
          <w:bCs/>
          <w:b/>
        </w:rPr>
        <w:t xml:space="preserve">Email:</w:t>
      </w:r>
      <w:r>
        <w:t xml:space="preserve"> </w:t>
      </w:r>
      <w:r>
        <w:t xml:space="preserve">m.yilmaz@anadolucorp.com.tr</w:t>
      </w:r>
    </w:p>
    <w:p>
      <w:pPr>
        <w:pStyle w:val="BodyText"/>
      </w:pPr>
      <w:r>
        <w:rPr>
          <w:bCs/>
          <w:b/>
        </w:rPr>
        <w:t xml:space="preserve">Phone:</w:t>
      </w:r>
      <w:r>
        <w:t xml:space="preserve"> </w:t>
      </w:r>
      <w:r>
        <w:t xml:space="preserve">+90 312 445 6789</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Ege Audit &amp; Advisory Partners Ltd.</w:t>
      </w:r>
    </w:p>
    <w:p>
      <w:pPr>
        <w:pStyle w:val="BodyText"/>
      </w:pPr>
      <w:r>
        <w:rPr>
          <w:bCs/>
          <w:b/>
        </w:rPr>
        <w:t xml:space="preserve">Address:</w:t>
      </w:r>
      <w:r>
        <w:t xml:space="preserve"> </w:t>
      </w:r>
      <w:r>
        <w:t xml:space="preserve">Tunalı Hilmi Caddesi No: 88, Çankaya, 06680 Ankara,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Dr. Ayşe Kaya, Lead Auditor &amp; Managing Partner</w:t>
      </w:r>
    </w:p>
    <w:p>
      <w:pPr>
        <w:pStyle w:val="BodyText"/>
      </w:pPr>
      <w:r>
        <w:rPr>
          <w:bCs/>
          <w:b/>
        </w:rPr>
        <w:t xml:space="preserve">Email:</w:t>
      </w:r>
      <w:r>
        <w:t xml:space="preserve"> </w:t>
      </w:r>
      <w:r>
        <w:t xml:space="preserve">a.kaya@egeaudit.com.tr</w:t>
      </w:r>
    </w:p>
    <w:p>
      <w:pPr>
        <w:pStyle w:val="BodyText"/>
      </w:pPr>
      <w:r>
        <w:rPr>
          <w:bCs/>
          <w:b/>
        </w:rPr>
        <w:t xml:space="preserve">Phone:</w:t>
      </w:r>
      <w:r>
        <w:t xml:space="preserve"> </w:t>
      </w:r>
      <w:r>
        <w:t xml:space="preserve">+90 312 223 4567</w:t>
      </w:r>
    </w:p>
    <w:bookmarkEnd w:id="22"/>
    <w:p>
      <w:pPr>
        <w:pStyle w:val="BodyText"/>
      </w:pPr>
      <w:r>
        <w:t xml:space="preserve">Scope of Purchase – Auditor Services in Turkey Ankara</w:t>
      </w:r>
    </w:p>
    <w:p>
      <w:pPr>
        <w:pStyle w:val="BodyText"/>
      </w:pPr>
      <w:r>
        <w:t xml:space="preserve">This Purchase Order is issued by Anadolu Corporate Holdings A.Ş. to formally engage the services of a certified</w:t>
      </w:r>
      <w:r>
        <w:t xml:space="preserve"> </w:t>
      </w:r>
      <w:r>
        <w:t xml:space="preserve">Auditor</w:t>
      </w:r>
      <w:r>
        <w:t xml:space="preserve"> </w:t>
      </w:r>
      <w:r>
        <w:t xml:space="preserve">and the associated audit team provided by Ege Audit &amp; Advisory Partners Ltd. for the comprehensive financial and operational audit of the company's operations headquartered in</w:t>
      </w:r>
      <w:r>
        <w:t xml:space="preserve"> </w:t>
      </w:r>
      <w:r>
        <w:t xml:space="preserve">Turkey Ankara</w:t>
      </w:r>
      <w:r>
        <w:t xml:space="preserve">. The Auditor shall conduct a full-scope statutory audit in compliance with the Turkish Commercial Code (Türk Ticaret Kanunu), the regulations of the Public Oversight Authority (Kamu Denetçiliği Kurumu – KDK), and the International Standards on Auditing (ISA) as adopted by the Turkish Institute of Certified Public Accountants (TÜRMOB). The engagement is specifically scoped to cover all business units, subsidiaries, and branch offices operating within the Ankara metropolitan region and the broader Ankara Province during the fiscal year 2024–2025.</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Lead Auditor – Full-Scope Statutory Financial Audit (Ankara HQ &amp; Branches)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Senior Auditor – Internal Controls &amp; Compliance Review (TÜRMOB Standards)</w:t>
            </w:r>
          </w:p>
        </w:tc>
        <w:tc>
          <w:tcPr/>
          <w:p>
            <w:pPr>
              <w:pStyle w:val="Compact"/>
              <w:jc w:val="left"/>
            </w:pPr>
            <w:r>
              <w:t xml:space="preserve">3</w:t>
            </w:r>
          </w:p>
        </w:tc>
        <w:tc>
          <w:tcPr/>
          <w:p>
            <w:pPr>
              <w:pStyle w:val="Compact"/>
              <w:jc w:val="left"/>
            </w:pPr>
            <w:r>
              <w:t xml:space="preserve">Person-Months</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03</w:t>
            </w:r>
          </w:p>
        </w:tc>
        <w:tc>
          <w:tcPr/>
          <w:p>
            <w:pPr>
              <w:pStyle w:val="Compact"/>
              <w:jc w:val="left"/>
            </w:pPr>
            <w:r>
              <w:t xml:space="preserve">Junior Auditor – Transaction Testing &amp; Vouching (Ankara Operations)</w:t>
            </w:r>
          </w:p>
        </w:tc>
        <w:tc>
          <w:tcPr/>
          <w:p>
            <w:pPr>
              <w:pStyle w:val="Compact"/>
              <w:jc w:val="left"/>
            </w:pPr>
            <w:r>
              <w:t xml:space="preserve">5</w:t>
            </w:r>
          </w:p>
        </w:tc>
        <w:tc>
          <w:tcPr/>
          <w:p>
            <w:pPr>
              <w:pStyle w:val="Compact"/>
              <w:jc w:val="left"/>
            </w:pPr>
            <w:r>
              <w:t xml:space="preserve">Person-Months</w:t>
            </w:r>
          </w:p>
        </w:tc>
        <w:tc>
          <w:tcPr/>
          <w:p>
            <w:pPr>
              <w:pStyle w:val="Compact"/>
              <w:jc w:val="left"/>
            </w:pPr>
            <w:r>
              <w:t xml:space="preserve">48,000.00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IT Auditor – Cybersecurity &amp; Data Integrity Assessment (Ankara Data Center)</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05</w:t>
            </w:r>
          </w:p>
        </w:tc>
        <w:tc>
          <w:tcPr/>
          <w:p>
            <w:pPr>
              <w:pStyle w:val="Compact"/>
              <w:jc w:val="left"/>
            </w:pPr>
            <w:r>
              <w:t xml:space="preserve">Auditor Report Preparation &amp; KDK Filing (Turkish &amp; English)</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On-Site Auditor Consultation – Ankara Office (Advisory &amp; Follow-Up)</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12,500.00</w:t>
            </w:r>
          </w:p>
        </w:tc>
        <w:tc>
          <w:tcPr/>
          <w:p>
            <w:pPr>
              <w:pStyle w:val="Compact"/>
              <w:jc w:val="left"/>
            </w:pPr>
            <w:r>
              <w:t xml:space="preserve">150,000.00</w:t>
            </w:r>
          </w:p>
        </w:tc>
      </w:tr>
      <w:tr>
        <w:tc>
          <w:tcPr>
            <w:gridSpan w:val="5"/>
          </w:tcPr>
          <w:p>
            <w:pPr>
              <w:pStyle w:val="Compact"/>
              <w:jc w:val="right"/>
            </w:pPr>
            <w:r>
              <w:t xml:space="preserve">Subtotal (TRY)</w:t>
            </w:r>
          </w:p>
        </w:tc>
        <w:tc>
          <w:tcPr/>
          <w:p>
            <w:pPr>
              <w:pStyle w:val="Compact"/>
              <w:jc w:val="left"/>
            </w:pPr>
            <w:r>
              <w:t xml:space="preserve">1,395,500.00</w:t>
            </w:r>
          </w:p>
        </w:tc>
      </w:tr>
      <w:tr>
        <w:tc>
          <w:tcPr>
            <w:gridSpan w:val="5"/>
          </w:tcPr>
          <w:p>
            <w:pPr>
              <w:pStyle w:val="Compact"/>
              <w:jc w:val="right"/>
            </w:pPr>
            <w:r>
              <w:t xml:space="preserve">VAT (KDV) – 20%</w:t>
            </w:r>
          </w:p>
        </w:tc>
        <w:tc>
          <w:tcPr/>
          <w:p>
            <w:pPr>
              <w:pStyle w:val="Compact"/>
              <w:jc w:val="left"/>
            </w:pPr>
            <w:r>
              <w:t xml:space="preserve">279,100.00</w:t>
            </w:r>
          </w:p>
        </w:tc>
      </w:tr>
      <w:tr>
        <w:tc>
          <w:tcPr>
            <w:gridSpan w:val="5"/>
          </w:tcPr>
          <w:p>
            <w:pPr>
              <w:pStyle w:val="Compact"/>
              <w:jc w:val="right"/>
            </w:pPr>
            <w:r>
              <w:t xml:space="preserve">TOTAL AMOUNT DUE (TRY)</w:t>
            </w:r>
          </w:p>
        </w:tc>
        <w:tc>
          <w:tcPr/>
          <w:p>
            <w:pPr>
              <w:pStyle w:val="Compact"/>
              <w:jc w:val="left"/>
            </w:pPr>
            <w:r>
              <w:t xml:space="preserve">1,674,600.00</w:t>
            </w:r>
          </w:p>
        </w:tc>
      </w:tr>
    </w:tbl>
    <w:p>
      <w:pPr>
        <w:pStyle w:val="BodyText"/>
      </w:pPr>
      <w:r>
        <w:t xml:space="preserve">Terms and Conditions</w:t>
      </w:r>
    </w:p>
    <w:p>
      <w:pPr>
        <w:pStyle w:val="BodyText"/>
      </w:pPr>
      <w:r>
        <w:rPr>
          <w:bCs/>
          <w:b/>
        </w:rPr>
        <w:t xml:space="preserve">1. Governing Law and Jurisdiction:</w:t>
      </w:r>
      <w:r>
        <w:t xml:space="preserve"> </w:t>
      </w:r>
      <w:r>
        <w:t xml:space="preserve">This Purchase Order shall be governed by and construed in accordance with the laws of the Republic of Turkey. Any disputes arising from or in connection with this Purchase Order, including the performance of the Auditor's duties in Turkey Ankara, shall be subject to the exclusive jurisdiction of the courts of Ankara, Turkey. The Auditor acknowledges that all fieldwork, document inspections, and stakeholder interviews shall be conducted at the Purchasing Entity's premises located in Ankara, Turkey, or at such other locations within Ankara Province as mutually agreed in writing.</w:t>
      </w:r>
    </w:p>
    <w:p>
      <w:pPr>
        <w:pStyle w:val="BodyText"/>
      </w:pPr>
      <w:r>
        <w:rPr>
          <w:bCs/>
          <w:b/>
        </w:rPr>
        <w:t xml:space="preserve">2. Auditor Qualifications and Independence:</w:t>
      </w:r>
      <w:r>
        <w:t xml:space="preserve"> </w:t>
      </w:r>
      <w:r>
        <w:t xml:space="preserve">The Lead Auditor and all supporting Auditor team members engaged under this Purchase Order must hold valid membership with TÜRMOB (Turkish Institute of Certified Public Accountants) and must demonstrate no conflict of interest with Anadolu Corporate Holdings A.Ş. The Auditor shall maintain strict independence in accordance with the Turkish Independence Standards and shall disclose any potential impairment of objectivity prior to commencing fieldwork in Ankara.</w:t>
      </w:r>
    </w:p>
    <w:p>
      <w:pPr>
        <w:pStyle w:val="BodyText"/>
      </w:pPr>
      <w:r>
        <w:rPr>
          <w:bCs/>
          <w:b/>
        </w:rPr>
        <w:t xml:space="preserve">3. Scope and Deliverables:</w:t>
      </w:r>
      <w:r>
        <w:t xml:space="preserve"> </w:t>
      </w:r>
      <w:r>
        <w:t xml:space="preserve">The Auditor shall deliver a comprehensive audit report covering the financial statements, internal control environment, compliance with Turkish tax regulations (Gelir İdaresi Başkanlığı), and operational efficiency metrics for all Ankara-based entities. The final Auditor report shall be submitted in both Turkish and English within forty-five (45) calendar days of the completion of fieldwork. A preliminary findings memorandum shall be provided to the Purchasing Entity within fifteen (15) days of fieldwork completion for management review and response.</w:t>
      </w:r>
    </w:p>
    <w:p>
      <w:pPr>
        <w:pStyle w:val="BodyText"/>
      </w:pPr>
      <w:r>
        <w:rPr>
          <w:bCs/>
          <w:b/>
        </w:rPr>
        <w:t xml:space="preserve">4. Payment Schedule:</w:t>
      </w:r>
      <w:r>
        <w:t xml:space="preserve"> </w:t>
      </w:r>
      <w:r>
        <w:t xml:space="preserve">Payment shall be made in three installments: (a) 30% upon execution of this Purchase Order and commencement of the Auditor's engagement; (b) 40% upon delivery of the preliminary findings memorandum; and (c) 30% upon acceptance of the final Auditor report. All payments shall be made via bank transfer to the account designated by Ege Audit &amp; Advisory Partners Ltd. in Ankara, Turkey. Late payments shall accrue interest at the statutory rate prescribed by the Turkish Commercial Code.</w:t>
      </w:r>
    </w:p>
    <w:p>
      <w:pPr>
        <w:pStyle w:val="BodyText"/>
      </w:pPr>
      <w:r>
        <w:rPr>
          <w:bCs/>
          <w:b/>
        </w:rPr>
        <w:t xml:space="preserve">5. Confidentiality and Data Protection:</w:t>
      </w:r>
      <w:r>
        <w:t xml:space="preserve"> </w:t>
      </w:r>
      <w:r>
        <w:t xml:space="preserve">The Auditor shall treat all financial records, proprietary data, and business information accessed during the audit in Turkey Ankara as strictly confidential. The Auditor shall comply with the Turkish Personal Data Protection Law (KVKK – Kişisel Verilerin Korunması Kanunu) and shall not disclose any information to third parties without prior written consent from the Purchasing Entity. This obligation shall survive the termination of this Purchase Order for a period of five (5) years.</w:t>
      </w:r>
    </w:p>
    <w:p>
      <w:pPr>
        <w:pStyle w:val="BodyText"/>
      </w:pPr>
      <w:r>
        <w:rPr>
          <w:bCs/>
          <w:b/>
        </w:rPr>
        <w:t xml:space="preserve">6. Termination:</w:t>
      </w:r>
      <w:r>
        <w:t xml:space="preserve"> </w:t>
      </w:r>
      <w:r>
        <w:t xml:space="preserve">Either party may terminate this Purchase Order with thirty (30) days' written notice. In the event of termination, the Auditor shall be compensated for all work performed up to the date of termination, and all documents and data in the Auditor's possession relating to the Ankara operations shall be returned or destroyed as directed by the Purchasing Entity.</w:t>
      </w:r>
    </w:p>
    <w:p>
      <w:pPr>
        <w:pStyle w:val="BodyText"/>
      </w:pPr>
      <w:r>
        <w:rPr>
          <w:bCs/>
          <w:b/>
        </w:rPr>
        <w:t xml:space="preserve">7. Force Majeure:</w:t>
      </w:r>
      <w:r>
        <w:t xml:space="preserve"> </w:t>
      </w:r>
      <w:r>
        <w:t xml:space="preserve">Neither party shall be liable for failure to perform obligations under this Purchase Order due to events beyond reasonable control, including but not limited to natural disasters affecting the Ankara region, government-mandated closures, or acts of war, provided that the affected party notifies the other within five (5) business days.</w:t>
      </w:r>
    </w:p>
    <w:p>
      <w:pPr>
        <w:pStyle w:val="BodyText"/>
      </w:pPr>
      <w:r>
        <w:t xml:space="preserve">Acceptance and Authorization</w:t>
      </w:r>
    </w:p>
    <w:p>
      <w:pPr>
        <w:pStyle w:val="BodyText"/>
      </w:pPr>
      <w:r>
        <w:t xml:space="preserve">By signing below, both parties acknowledge and agree to all terms, conditions, and scope of work outlined in this Purchase Order for the engagement of the Auditor in Turkey Ankara. This document constitutes a binding agreement upon execution by both authorized representatives.</w:t>
      </w:r>
    </w:p>
    <w:p>
      <w:pPr>
        <w:pStyle w:val="BodyText"/>
      </w:pPr>
      <w:r>
        <w:rPr>
          <w:bCs/>
          <w:b/>
        </w:rPr>
        <w:t xml:space="preserve">For Anadolu Corporate Holdings A.Ş. (Buyer)</w:t>
      </w:r>
      <w:r>
        <w:br/>
      </w:r>
      <w:r>
        <w:t xml:space="preserve">Murat Yılmaz – Chief Financial Officer</w:t>
      </w:r>
      <w:r>
        <w:br/>
      </w:r>
      <w:r>
        <w:t xml:space="preserve">Date: _______________</w:t>
      </w:r>
    </w:p>
    <w:p>
      <w:pPr>
        <w:pStyle w:val="BodyText"/>
      </w:pPr>
      <w:r>
        <w:rPr>
          <w:bCs/>
          <w:b/>
        </w:rPr>
        <w:t xml:space="preserve">For Ege Audit &amp; Advisory Partners Ltd. (Seller / Auditor)</w:t>
      </w:r>
      <w:r>
        <w:br/>
      </w:r>
      <w:r>
        <w:t xml:space="preserve">Dr. Ayşe Kaya – Lead Auditor &amp; Managing Partner</w:t>
      </w:r>
      <w:r>
        <w:br/>
      </w:r>
      <w:r>
        <w:t xml:space="preserve">Date: _______________</w:t>
      </w:r>
    </w:p>
    <w:p>
      <w:pPr>
        <w:pStyle w:val="BodyText"/>
      </w:pPr>
      <w:r>
        <w:t xml:space="preserve">Purchase Order No: TR-ANK-2025-004782 | Issued in Ankara, Turkey | Page 1 of 1</w:t>
      </w:r>
    </w:p>
    <w:p>
      <w:pPr>
        <w:pStyle w:val="BodyText"/>
      </w:pPr>
      <w:r>
        <w:t xml:space="preserve">This document is the property of Anadolu Corporate Holdings A.Ş. Unauthorized reproduction or distribution is prohibited under Turkish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Turkey Ankara</dc:title>
  <dc:creator/>
  <dc:language>en</dc:language>
  <cp:keywords/>
  <dcterms:created xsi:type="dcterms:W3CDTF">2026-10-10T03:12:06Z</dcterms:created>
  <dcterms:modified xsi:type="dcterms:W3CDTF">2026-10-10T03:12:06Z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