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Auditor Engagement – Republic of Turkey, Istanbul</w:t>
      </w:r>
    </w:p>
    <w:p>
      <w:pPr>
        <w:pStyle w:val="BodyText"/>
      </w:pPr>
      <w:r>
        <w:t xml:space="preserve">PO No: TR-IST-2025-04782 | 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Global Holdings A.Ş.</w:t>
            </w:r>
          </w:p>
        </w:tc>
      </w:tr>
      <w:tr>
        <w:tc>
          <w:tcPr/>
          <w:p>
            <w:pPr>
              <w:pStyle w:val="Compact"/>
              <w:jc w:val="left"/>
            </w:pPr>
            <w:r>
              <w:t xml:space="preserve">Registered Address</w:t>
            </w:r>
          </w:p>
        </w:tc>
        <w:tc>
          <w:tcPr/>
          <w:p>
            <w:pPr>
              <w:pStyle w:val="Compact"/>
              <w:jc w:val="left"/>
            </w:pPr>
            <w:r>
              <w:t xml:space="preserve">Levent Business District, Büyükdere Caddesi No. 178, 34394 Şişli, Istanbul, Turkey</w:t>
            </w:r>
          </w:p>
        </w:tc>
      </w:tr>
      <w:tr>
        <w:tc>
          <w:tcPr/>
          <w:p>
            <w:pPr>
              <w:pStyle w:val="Compact"/>
              <w:jc w:val="left"/>
            </w:pPr>
            <w:r>
              <w:t xml:space="preserve">Tax Identification No. (VKN)</w:t>
            </w:r>
          </w:p>
        </w:tc>
        <w:tc>
          <w:tcPr/>
          <w:p>
            <w:pPr>
              <w:pStyle w:val="Compact"/>
              <w:jc w:val="left"/>
            </w:pPr>
            <w:r>
              <w:t xml:space="preserve">1234567890</w:t>
            </w:r>
          </w:p>
        </w:tc>
      </w:tr>
      <w:tr>
        <w:tc>
          <w:tcPr/>
          <w:p>
            <w:pPr>
              <w:pStyle w:val="Compact"/>
              <w:jc w:val="left"/>
            </w:pPr>
            <w:r>
              <w:t xml:space="preserve">Contact Person</w:t>
            </w:r>
          </w:p>
        </w:tc>
        <w:tc>
          <w:tcPr/>
          <w:p>
            <w:pPr>
              <w:pStyle w:val="Compact"/>
              <w:jc w:val="left"/>
            </w:pPr>
            <w:r>
              <w:t xml:space="preserve">Elif Kaya, Chief Financial Officer</w:t>
            </w:r>
          </w:p>
        </w:tc>
      </w:tr>
      <w:tr>
        <w:tc>
          <w:tcPr/>
          <w:p>
            <w:pPr>
              <w:pStyle w:val="Compact"/>
              <w:jc w:val="left"/>
            </w:pPr>
            <w:r>
              <w:t xml:space="preserve">Email / Phone</w:t>
            </w:r>
          </w:p>
        </w:tc>
        <w:tc>
          <w:tcPr/>
          <w:p>
            <w:pPr>
              <w:pStyle w:val="Compact"/>
              <w:jc w:val="left"/>
            </w:pPr>
            <w:r>
              <w:t xml:space="preserve">finance@meridianglobal.com.tr / +90 212 555 0147</w:t>
            </w:r>
          </w:p>
        </w:tc>
      </w:tr>
    </w:tbl>
    <w:bookmarkEnd w:id="21"/>
    <w:bookmarkStart w:id="22" w:name="supplier-service-provider-auditor"/>
    <w:p>
      <w:pPr>
        <w:pStyle w:val="Heading2"/>
      </w:pPr>
      <w:r>
        <w:t xml:space="preserve">2. Supplier / Service Provider (Auditor)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Audit Firm Name</w:t>
            </w:r>
          </w:p>
        </w:tc>
        <w:tc>
          <w:tcPr/>
          <w:p>
            <w:pPr>
              <w:pStyle w:val="Compact"/>
              <w:jc w:val="left"/>
            </w:pPr>
            <w:r>
              <w:t xml:space="preserve">Boğaziçi Bağımsız Denetim ve Danışmanlık A.Ş. (Boğaziçi Independent Audit &amp; Advisory)</w:t>
            </w:r>
          </w:p>
        </w:tc>
      </w:tr>
      <w:tr>
        <w:tc>
          <w:tcPr/>
          <w:p>
            <w:pPr>
              <w:pStyle w:val="Compact"/>
              <w:jc w:val="left"/>
            </w:pPr>
            <w:r>
              <w:t xml:space="preserve">Registered Address</w:t>
            </w:r>
          </w:p>
        </w:tc>
        <w:tc>
          <w:tcPr/>
          <w:p>
            <w:pPr>
              <w:pStyle w:val="Compact"/>
              <w:jc w:val="left"/>
            </w:pPr>
            <w:r>
              <w:t xml:space="preserve">Karaköy, İstiklal Caddesi No. 42, 34425 Beyoğlu, Istanbul, Turkey</w:t>
            </w:r>
          </w:p>
        </w:tc>
      </w:tr>
      <w:tr>
        <w:tc>
          <w:tcPr/>
          <w:p>
            <w:pPr>
              <w:pStyle w:val="Compact"/>
              <w:jc w:val="left"/>
            </w:pPr>
            <w:r>
              <w:t xml:space="preserve">Chamber of Accountants Registration</w:t>
            </w:r>
          </w:p>
        </w:tc>
        <w:tc>
          <w:tcPr/>
          <w:p>
            <w:pPr>
              <w:pStyle w:val="Compact"/>
              <w:jc w:val="left"/>
            </w:pPr>
            <w:r>
              <w:t xml:space="preserve">Istanbul Serbest Muhasebeci Mali Müşavirler Odası (İSMMMO) – Reg. No. 4521</w:t>
            </w:r>
          </w:p>
        </w:tc>
      </w:tr>
      <w:tr>
        <w:tc>
          <w:tcPr/>
          <w:p>
            <w:pPr>
              <w:pStyle w:val="Compact"/>
              <w:jc w:val="left"/>
            </w:pPr>
            <w:r>
              <w:t xml:space="preserve">Lead Auditor</w:t>
            </w:r>
          </w:p>
        </w:tc>
        <w:tc>
          <w:tcPr/>
          <w:p>
            <w:pPr>
              <w:pStyle w:val="Compact"/>
              <w:jc w:val="left"/>
            </w:pPr>
            <w:r>
              <w:t xml:space="preserve">Mehmet Aydın, Certified Public Accountant (SMMM), Senior Audit Partner</w:t>
            </w:r>
          </w:p>
        </w:tc>
      </w:tr>
      <w:tr>
        <w:tc>
          <w:tcPr/>
          <w:p>
            <w:pPr>
              <w:pStyle w:val="Compact"/>
              <w:jc w:val="left"/>
            </w:pPr>
            <w:r>
              <w:t xml:space="preserve">Contact Person</w:t>
            </w:r>
          </w:p>
        </w:tc>
        <w:tc>
          <w:tcPr/>
          <w:p>
            <w:pPr>
              <w:pStyle w:val="Compact"/>
              <w:jc w:val="left"/>
            </w:pPr>
            <w:r>
              <w:t xml:space="preserve">Deniz Yılmaz, Client Relations Manager</w:t>
            </w:r>
          </w:p>
        </w:tc>
      </w:tr>
      <w:tr>
        <w:tc>
          <w:tcPr/>
          <w:p>
            <w:pPr>
              <w:pStyle w:val="Compact"/>
              <w:jc w:val="left"/>
            </w:pPr>
            <w:r>
              <w:t xml:space="preserve">Email / Phone</w:t>
            </w:r>
          </w:p>
        </w:tc>
        <w:tc>
          <w:tcPr/>
          <w:p>
            <w:pPr>
              <w:pStyle w:val="Compact"/>
              <w:jc w:val="left"/>
            </w:pPr>
            <w:r>
              <w:t xml:space="preserve">clients@bogazicidenetim.com.tr / +90 212 293 8821</w:t>
            </w:r>
          </w:p>
        </w:tc>
      </w:tr>
    </w:tbl>
    <w:bookmarkEnd w:id="22"/>
    <w:bookmarkStart w:id="23" w:name="scope-of-auditor-services-ordered"/>
    <w:p>
      <w:pPr>
        <w:pStyle w:val="Heading2"/>
      </w:pPr>
      <w:r>
        <w:t xml:space="preserve">3. Scope of Auditor Services Ordered</w:t>
      </w:r>
    </w:p>
    <w:p>
      <w:pPr>
        <w:pStyle w:val="FirstParagraph"/>
      </w:pPr>
      <w:r>
        <w:t xml:space="preserve">This Purchase Order is issued by Meridian Global Holdings A.Ş. to formally engage the services of Boğaziçi Independent Audit &amp; Advisory for the comprehensive financial and statutory audit of the company's fiscal year 2024 operations conducted within the jurisdiction of Istanbul, Turkey. The Auditor shall perform all procedures in accordance with the Turkish Commercial Code (Türk Ticaret Kanunu, Law No. 6102), the regulations of the Turkish Accounting Standards Board (TMSB), and the applicable standards of the International Standards on Auditing (ISA) as adopted in Turkey. The engagement covers the head office in Şişli, Istanbul, as well as the regional warehouse facility located in the Tuzla district of Istanbul.</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Statutory Financial Statement Audit – FY 2024 (Balance Sheet, Income Statement, Cash Flow, Notes to Financial Statements) prepared in compliance with TMS/IFRS as applied in Turkey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Internal Control Assessment and Risk-Based Audit Planning for Istanbul Operations (Şişli HQ and Tuzla Warehouse)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Tax Compliance Review – Corporate Income Tax (KDV, Kurumlar Vergisi) reconciliation for fiscal year 2024 filed with the Istanbul Regional Tax Office (İstanbul Vergi Dairesi Başkanlığı)</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On-site Audit Fieldwork – Physical inventory verification, fixed asset inspection, and bank confirmation procedures conducted at Istanbul premises</w:t>
            </w:r>
          </w:p>
        </w:tc>
        <w:tc>
          <w:tcPr/>
          <w:p>
            <w:pPr>
              <w:pStyle w:val="Compact"/>
              <w:jc w:val="left"/>
            </w:pPr>
            <w:r>
              <w:t xml:space="preserve">Day</w:t>
            </w:r>
          </w:p>
        </w:tc>
        <w:tc>
          <w:tcPr/>
          <w:p>
            <w:pPr>
              <w:pStyle w:val="Compact"/>
              <w:jc w:val="left"/>
            </w:pPr>
            <w:r>
              <w:t xml:space="preserve">18</w:t>
            </w:r>
          </w:p>
        </w:tc>
        <w:tc>
          <w:tcPr/>
          <w:p>
            <w:pPr>
              <w:pStyle w:val="Compact"/>
              <w:jc w:val="left"/>
            </w:pPr>
            <w:r>
              <w:t xml:space="preserve">8,500.00</w:t>
            </w:r>
          </w:p>
        </w:tc>
        <w:tc>
          <w:tcPr/>
          <w:p>
            <w:pPr>
              <w:pStyle w:val="Compact"/>
              <w:jc w:val="left"/>
            </w:pPr>
            <w:r>
              <w:t xml:space="preserve">153,000.00</w:t>
            </w:r>
          </w:p>
        </w:tc>
      </w:tr>
      <w:tr>
        <w:tc>
          <w:tcPr/>
          <w:p>
            <w:pPr>
              <w:pStyle w:val="Compact"/>
              <w:jc w:val="left"/>
            </w:pPr>
            <w:r>
              <w:t xml:space="preserve">05</w:t>
            </w:r>
          </w:p>
        </w:tc>
        <w:tc>
          <w:tcPr/>
          <w:p>
            <w:pPr>
              <w:pStyle w:val="Compact"/>
              <w:jc w:val="left"/>
            </w:pPr>
            <w:r>
              <w:t xml:space="preserve">Management Letter and Post-Audit Consultation – Written report on internal control deficiencies and recommendations for the Istanbul-based executive board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left"/>
            </w:pPr>
            <w:r>
              <w:t xml:space="preserve">Subtotal (TRY)</w:t>
            </w:r>
          </w:p>
        </w:tc>
        <w:tc>
          <w:tcPr/>
          <w:p>
            <w:pPr>
              <w:pStyle w:val="Compact"/>
              <w:jc w:val="left"/>
            </w:pPr>
            <w:r>
              <w:t xml:space="preserve">895,000.00</w:t>
            </w:r>
          </w:p>
        </w:tc>
      </w:tr>
      <w:tr>
        <w:tc>
          <w:tcPr>
            <w:gridSpan w:val="5"/>
          </w:tcPr>
          <w:p>
            <w:pPr>
              <w:pStyle w:val="Compact"/>
              <w:jc w:val="left"/>
            </w:pPr>
            <w:r>
              <w:t xml:space="preserve">VAT (KDV) – 20% (applicable in Turkey)</w:t>
            </w:r>
          </w:p>
        </w:tc>
        <w:tc>
          <w:tcPr/>
          <w:p>
            <w:pPr>
              <w:pStyle w:val="Compact"/>
              <w:jc w:val="left"/>
            </w:pPr>
            <w:r>
              <w:t xml:space="preserve">179,000.00</w:t>
            </w:r>
          </w:p>
        </w:tc>
      </w:tr>
      <w:tr>
        <w:tc>
          <w:tcPr>
            <w:gridSpan w:val="5"/>
          </w:tcPr>
          <w:p>
            <w:pPr>
              <w:pStyle w:val="Compact"/>
              <w:jc w:val="left"/>
            </w:pPr>
            <w:r>
              <w:t xml:space="preserve">GRAND TOTAL (TRY)</w:t>
            </w:r>
          </w:p>
        </w:tc>
        <w:tc>
          <w:tcPr/>
          <w:p>
            <w:pPr>
              <w:pStyle w:val="Compact"/>
              <w:jc w:val="left"/>
            </w:pPr>
            <w:r>
              <w:t xml:space="preserve">1,074,000.00</w:t>
            </w:r>
          </w:p>
        </w:tc>
      </w:tr>
    </w:tbl>
    <w:bookmarkEnd w:id="24"/>
    <w:bookmarkStart w:id="25" w:name="delivery-and-performance-timeline"/>
    <w:p>
      <w:pPr>
        <w:pStyle w:val="Heading2"/>
      </w:pPr>
      <w:r>
        <w:t xml:space="preserve">5. Delivery and Performance Timeline</w:t>
      </w:r>
    </w:p>
    <w:p>
      <w:pPr>
        <w:pStyle w:val="FirstParagraph"/>
      </w:pPr>
      <w:r>
        <w:t xml:space="preserve">The Auditor shall commence fieldwork no later than 1 July 2025 and shall deliver the final signed audit report, management letter, and all supporting working papers to the Purchasing Entity's registered office in Şişli, Istanbul, no later than 30 September 2025. All on-site procedures shall be conducted at the Istanbul premises during standard business hours (09:00–18:00, Monday through Friday). The Auditor is required to submit a preliminary findings memorandum to the CFO within 15 business days of completing fieldwork.</w:t>
      </w:r>
    </w:p>
    <w:bookmarkEnd w:id="25"/>
    <w:bookmarkStart w:id="26" w:name="payment-terms"/>
    <w:p>
      <w:pPr>
        <w:pStyle w:val="Heading2"/>
      </w:pPr>
      <w:r>
        <w:t xml:space="preserve">6. Payment Terms</w:t>
      </w:r>
    </w:p>
    <w:p>
      <w:pPr>
        <w:pStyle w:val="FirstParagraph"/>
      </w:pPr>
      <w:r>
        <w:t xml:space="preserve">Payment shall be made in Turkish Lira (TRY) via bank transfer to the Auditor's designated account at Ziraat Bankası, Istanbul branch, within 30 calendar days of receipt of the final audit report and a valid commercial invoice (fatura) issued in compliance with the Turkish Tax Procedure Law (Vergi Usul Kanunu). A 10% retention shall be withheld until the Auditor confirms that no regulatory queries from the Istanbul Regional Tax Office or the Capital Markets Board (SPK) remain unresolved regarding the audited financial statements.</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Republic of Turkey. Any disputes arising from this engagement shall be subject to the exclusive jurisdiction of the commercial courts of Istanbul, Turkey.</w:t>
      </w:r>
    </w:p>
    <w:p>
      <w:pPr>
        <w:numPr>
          <w:ilvl w:val="0"/>
          <w:numId w:val="1001"/>
        </w:numPr>
        <w:pStyle w:val="Compact"/>
      </w:pPr>
      <w:r>
        <w:t xml:space="preserve">The Auditor warrants that all audit procedures shall be performed with the professional competence, independence, and due care required under the Turkish Law on Independent Audit Firms (Law No. 660) and the regulations of the Public Oversight Authority (Kamu Gözetimi, Muhasebe ve Denetim Standartları Kurumu – KGK).</w:t>
      </w:r>
    </w:p>
    <w:p>
      <w:pPr>
        <w:numPr>
          <w:ilvl w:val="0"/>
          <w:numId w:val="1001"/>
        </w:numPr>
        <w:pStyle w:val="Compact"/>
      </w:pPr>
      <w:r>
        <w:t xml:space="preserve">The Auditor shall maintain strict confidentiality of all financial records, trade secrets, and proprietary data of Meridian Global Holdings A.Ş. in accordance with the Turkish Personal Data Protection Law (KVKK – Law No. 6698) and the professional ethics code of İSMMMO.</w:t>
      </w:r>
    </w:p>
    <w:p>
      <w:pPr>
        <w:numPr>
          <w:ilvl w:val="0"/>
          <w:numId w:val="1001"/>
        </w:numPr>
        <w:pStyle w:val="Compact"/>
      </w:pPr>
      <w:r>
        <w:t xml:space="preserve">The Auditor shall not subcontract any portion of the audit engagement without prior written consent from the Purchasing Entity. Any approved subcontractor operating within Istanbul must be registered with the relevant professional chamber in Turkey.</w:t>
      </w:r>
    </w:p>
    <w:p>
      <w:pPr>
        <w:numPr>
          <w:ilvl w:val="0"/>
          <w:numId w:val="1001"/>
        </w:numPr>
        <w:pStyle w:val="Compact"/>
      </w:pPr>
      <w:r>
        <w:t xml:space="preserve">The Auditor shall provide a professional indemnity insurance certificate with a minimum coverage of TRY 5,000,000, valid throughout the duration of the engagement and for a period of five (5) years thereafter, as required for audit firms operating in Turkey.</w:t>
      </w:r>
    </w:p>
    <w:p>
      <w:pPr>
        <w:numPr>
          <w:ilvl w:val="0"/>
          <w:numId w:val="1001"/>
        </w:numPr>
        <w:pStyle w:val="Compact"/>
      </w:pPr>
      <w:r>
        <w:t xml:space="preserve">All deliverables, including the audit report, shall be issued in both Turkish and English to facilitate review by the Purchasing Entity's international stakeholders.</w:t>
      </w:r>
    </w:p>
    <w:p>
      <w:pPr>
        <w:numPr>
          <w:ilvl w:val="0"/>
          <w:numId w:val="1001"/>
        </w:numPr>
        <w:pStyle w:val="Compact"/>
      </w:pPr>
      <w:r>
        <w:t xml:space="preserve">This Purchase Order becomes effective upon signature by both parties and remains valid until the completion of all services described herein, unless terminated earlier by mutual written agreement.</w:t>
      </w:r>
    </w:p>
    <w:p>
      <w:pPr>
        <w:numPr>
          <w:ilvl w:val="0"/>
          <w:numId w:val="1001"/>
        </w:numPr>
        <w:pStyle w:val="Compact"/>
      </w:pPr>
      <w:r>
        <w:t xml:space="preserve">Force majeure events, including but not limited to natural disasters affecting the Istanbul metropolitan area, shall suspend performance obligations for the duration of the event, with a maximum extension of 30 calendar days.</w:t>
      </w:r>
    </w:p>
    <w:bookmarkEnd w:id="27"/>
    <w:bookmarkStart w:id="28" w:name="authorization-and-signatures"/>
    <w:p>
      <w:pPr>
        <w:pStyle w:val="Heading2"/>
      </w:pPr>
      <w:r>
        <w:t xml:space="preserve">8. Authorization and Signatures</w:t>
      </w:r>
    </w:p>
    <w:p>
      <w:pPr>
        <w:pStyle w:val="FirstParagraph"/>
      </w:pPr>
      <w:r>
        <w:rPr>
          <w:bCs/>
          <w:b/>
        </w:rPr>
        <w:t xml:space="preserve">For and on behalf of the Purchasing Entity:</w:t>
      </w:r>
    </w:p>
    <w:p>
      <w:pPr>
        <w:pStyle w:val="BodyText"/>
      </w:pPr>
      <w:r>
        <w:t xml:space="preserve">Meridian Global Holdings A.Ş.</w:t>
      </w:r>
    </w:p>
    <w:p>
      <w:pPr>
        <w:pStyle w:val="BodyText"/>
      </w:pPr>
      <w:r>
        <w:t xml:space="preserve">Name: Elif Kaya</w:t>
      </w:r>
      <w:r>
        <w:br/>
      </w:r>
      <w:r>
        <w:t xml:space="preserve">Title: Chief Financial Officer</w:t>
      </w:r>
      <w:r>
        <w:br/>
      </w:r>
      <w:r>
        <w:t xml:space="preserve">Date: _______________</w:t>
      </w:r>
      <w:r>
        <w:br/>
      </w:r>
      <w:r>
        <w:t xml:space="preserve">Signature &amp; Company Stamp:</w:t>
      </w:r>
    </w:p>
    <w:p>
      <w:pPr>
        <w:pStyle w:val="BodyText"/>
      </w:pPr>
      <w:r>
        <w:rPr>
          <w:bCs/>
          <w:b/>
        </w:rPr>
        <w:t xml:space="preserve">For and on behalf of the Auditor:</w:t>
      </w:r>
    </w:p>
    <w:p>
      <w:pPr>
        <w:pStyle w:val="BodyText"/>
      </w:pPr>
      <w:r>
        <w:t xml:space="preserve">Boğaziçi Bağımsız Denetim ve Danışmanlık A.Ş.</w:t>
      </w:r>
    </w:p>
    <w:p>
      <w:pPr>
        <w:pStyle w:val="BodyText"/>
      </w:pPr>
      <w:r>
        <w:t xml:space="preserve">Name: Mehmet Aydın</w:t>
      </w:r>
      <w:r>
        <w:br/>
      </w:r>
      <w:r>
        <w:t xml:space="preserve">Title: Senior Audit Partner / SMMM</w:t>
      </w:r>
      <w:r>
        <w:br/>
      </w:r>
      <w:r>
        <w:t xml:space="preserve">Date: _______________</w:t>
      </w:r>
      <w:r>
        <w:br/>
      </w:r>
      <w:r>
        <w:t xml:space="preserve">Signature &amp; Company Stamp:</w:t>
      </w:r>
    </w:p>
    <w:bookmarkEnd w:id="28"/>
    <w:p>
      <w:pPr>
        <w:pStyle w:val="BodyText"/>
      </w:pPr>
      <w:r>
        <w:t xml:space="preserve">OFFICIAL USE ONLY – Company Seal / Kaşe Area</w:t>
      </w:r>
    </w:p>
    <w:p>
      <w:pPr>
        <w:pStyle w:val="BodyText"/>
      </w:pPr>
      <w:r>
        <w:t xml:space="preserve">This document is issued in Istanbul, Turkey, and constitutes a binding commercial purchase order under Turkish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Turkey Istanbul</dc:title>
  <dc:creator/>
  <dc:language>en</dc:language>
  <cp:keywords/>
  <dcterms:created xsi:type="dcterms:W3CDTF">2026-10-10T06:57:58Z</dcterms:created>
  <dcterms:modified xsi:type="dcterms:W3CDTF">2026-10-10T06:57:58Z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